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Sugar confectionery (including white chocolate), not containing cocoa</w:t>
              <w:br/>
              <w:t>Chocolate and other food preparations containing cocoa, in blocks, slabs or bars, filled, weighing no more than 2 kilograms</w:t>
              <w:br/>
              <w:t>Chocolate and other food preparations containing cocoa, in blocks, slabs or bars, not filled, weighing no more than 2 kilograms</w:t>
              <w:br/>
              <w:t>Chocolate and other food preparations containing cocoa other than those of subheading 1806 10 to 1806 32</w:t>
              <w:br/>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1704000000</w:t>
            </w:r>
          </w:p>
        </w:tc>
        <w:tc>
          <w:tcPr>
            <w:tcW w:type="dxa" w:w="8561"/>
          </w:tcPr>
          <w:p>
            <w:pPr>
              <w:pStyle w:val="Smallintable"/>
            </w:pPr>
            <w:r>
              <w:t>Sugar confectionery (including white chocolate), not containing cocoa</w:t>
            </w:r>
          </w:p>
        </w:tc>
      </w:tr>
      <w:tr>
        <w:tc>
          <w:tcPr>
            <w:tcW w:type="dxa" w:w="1984"/>
          </w:tcPr>
          <w:p>
            <w:pPr>
              <w:pStyle w:val="Smallintable"/>
            </w:pPr>
            <w:r>
              <w:t>1806310000</w:t>
            </w:r>
          </w:p>
        </w:tc>
        <w:tc>
          <w:tcPr>
            <w:tcW w:type="dxa" w:w="8561"/>
          </w:tcPr>
          <w:p>
            <w:pPr>
              <w:pStyle w:val="Smallintable"/>
            </w:pPr>
            <w:r>
              <w:t>Filled</w:t>
            </w:r>
          </w:p>
        </w:tc>
      </w:tr>
      <w:tr>
        <w:tc>
          <w:tcPr>
            <w:tcW w:type="dxa" w:w="1984"/>
          </w:tcPr>
          <w:p>
            <w:pPr>
              <w:pStyle w:val="Smallintable"/>
            </w:pPr>
            <w:r>
              <w:t>1806320000</w:t>
            </w:r>
          </w:p>
        </w:tc>
        <w:tc>
          <w:tcPr>
            <w:tcW w:type="dxa" w:w="8561"/>
          </w:tcPr>
          <w:p>
            <w:pPr>
              <w:pStyle w:val="Smallintable"/>
            </w:pPr>
            <w:r>
              <w:t>Not filled</w:t>
            </w:r>
          </w:p>
        </w:tc>
      </w:tr>
      <w:tr>
        <w:tc>
          <w:tcPr>
            <w:tcW w:type="dxa" w:w="1984"/>
          </w:tcPr>
          <w:p>
            <w:pPr>
              <w:pStyle w:val="Smallintable"/>
            </w:pPr>
            <w:r>
              <w:t>1806900000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1704000000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1806310000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1806320000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