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091618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Preserved tuna</w:t>
            </w:r>
          </w:p>
        </w:tc>
      </w:tr>
      <w:tr>
        <w:tc>
          <w:tcPr>
            <w:tcW w:type="dxa" w:w="2608"/>
          </w:tcPr>
          <w:p>
            <w:pPr>
              <w:pStyle w:val="Smallintable"/>
            </w:pPr>
            <w:r>
              <w:t>Country</w:t>
            </w:r>
          </w:p>
        </w:tc>
        <w:tc>
          <w:tcPr>
            <w:tcW w:type="dxa" w:w="7937"/>
          </w:tcPr>
          <w:p>
            <w:pPr>
              <w:pStyle w:val="Smallintable"/>
            </w:pPr>
            <w:r>
              <w:t>Madagascar</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8,000,000.00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 - OQ</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D171923</w:t>
            </w:r>
          </w:p>
        </w:tc>
        <w:tc>
          <w:tcPr>
            <w:tcW w:type="dxa" w:w="8277"/>
          </w:tcPr>
          <w:p>
            <w:pPr>
              <w:pStyle w:val="Smallintable"/>
            </w:pPr>
            <w:r>
              <w:t>on a derogation from the rules of origin laid down in Protocol 1 to the Interim Agreement establishing a framework for an Economic Partnership Agreement between the Eastern and Southern Africa States, of the one part, and the European Community and its Member States, of the other part, to take account of the special situation of the Eastern and Southern Africa States with regard to preserved tuna and tuna loins [2017/1923]</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MG</w:t>
            </w:r>
          </w:p>
        </w:tc>
        <w:tc>
          <w:tcPr>
            <w:tcW w:type="dxa" w:w="8277"/>
          </w:tcPr>
          <w:p>
            <w:pPr>
              <w:pStyle w:val="Smallintable"/>
            </w:pPr>
            <w:r>
              <w:t>Madagascar</w:t>
            </w:r>
          </w:p>
        </w:tc>
      </w:tr>
      <w:tr>
        <w:tc>
          <w:tcPr>
            <w:tcW w:type="dxa" w:w="2268"/>
          </w:tcPr>
          <w:p>
            <w:pPr>
              <w:pStyle w:val="Smallintable"/>
            </w:pPr>
            <w:r>
              <w:t>MU</w:t>
            </w:r>
          </w:p>
        </w:tc>
        <w:tc>
          <w:tcPr>
            <w:tcW w:type="dxa" w:w="8277"/>
          </w:tcPr>
          <w:p>
            <w:pPr>
              <w:pStyle w:val="Smallintable"/>
            </w:pPr>
            <w:r>
              <w:t>Mauritius</w:t>
            </w:r>
          </w:p>
        </w:tc>
      </w:tr>
      <w:tr>
        <w:tc>
          <w:tcPr>
            <w:tcW w:type="dxa" w:w="2268"/>
          </w:tcPr>
          <w:p>
            <w:pPr>
              <w:pStyle w:val="Smallintable"/>
            </w:pPr>
            <w:r>
              <w:t>SC</w:t>
            </w:r>
          </w:p>
        </w:tc>
        <w:tc>
          <w:tcPr>
            <w:tcW w:type="dxa" w:w="8277"/>
          </w:tcPr>
          <w:p>
            <w:pPr>
              <w:pStyle w:val="Smallintable"/>
            </w:pPr>
            <w:r>
              <w:t>Seychelles and dependencies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1604142100</w:t>
            </w:r>
          </w:p>
        </w:tc>
        <w:tc>
          <w:tcPr>
            <w:tcW w:type="dxa" w:w="8561"/>
          </w:tcPr>
          <w:p>
            <w:pPr>
              <w:pStyle w:val="Smallintable"/>
            </w:pPr>
            <w:r>
              <w:t>In vegetable oil</w:t>
            </w:r>
          </w:p>
        </w:tc>
      </w:tr>
      <w:tr>
        <w:tc>
          <w:tcPr>
            <w:tcW w:type="dxa" w:w="1984"/>
          </w:tcPr>
          <w:p>
            <w:pPr>
              <w:pStyle w:val="Smallintable"/>
            </w:pPr>
            <w:r>
              <w:t>1604142800</w:t>
            </w:r>
          </w:p>
        </w:tc>
        <w:tc>
          <w:tcPr>
            <w:tcW w:type="dxa" w:w="8561"/>
          </w:tcPr>
          <w:p>
            <w:pPr>
              <w:pStyle w:val="Smallintable"/>
            </w:pPr>
            <w:r>
              <w:t>Other</w:t>
            </w:r>
          </w:p>
        </w:tc>
      </w:tr>
      <w:tr>
        <w:tc>
          <w:tcPr>
            <w:tcW w:type="dxa" w:w="1984"/>
          </w:tcPr>
          <w:p>
            <w:pPr>
              <w:pStyle w:val="Smallintable"/>
            </w:pPr>
            <w:r>
              <w:t>1604143100</w:t>
            </w:r>
          </w:p>
        </w:tc>
        <w:tc>
          <w:tcPr>
            <w:tcW w:type="dxa" w:w="8561"/>
          </w:tcPr>
          <w:p>
            <w:pPr>
              <w:pStyle w:val="Smallintable"/>
            </w:pPr>
            <w:r>
              <w:t>In vegetable oil</w:t>
            </w:r>
          </w:p>
        </w:tc>
      </w:tr>
      <w:tr>
        <w:tc>
          <w:tcPr>
            <w:tcW w:type="dxa" w:w="1984"/>
          </w:tcPr>
          <w:p>
            <w:pPr>
              <w:pStyle w:val="Smallintable"/>
            </w:pPr>
            <w:r>
              <w:t>1604143800</w:t>
            </w:r>
          </w:p>
        </w:tc>
        <w:tc>
          <w:tcPr>
            <w:tcW w:type="dxa" w:w="8561"/>
          </w:tcPr>
          <w:p>
            <w:pPr>
              <w:pStyle w:val="Smallintable"/>
            </w:pPr>
            <w:r>
              <w:t>Other</w:t>
            </w:r>
          </w:p>
        </w:tc>
      </w:tr>
      <w:tr>
        <w:tc>
          <w:tcPr>
            <w:tcW w:type="dxa" w:w="1984"/>
          </w:tcPr>
          <w:p>
            <w:pPr>
              <w:pStyle w:val="Smallintable"/>
            </w:pPr>
            <w:r>
              <w:t>1604144100</w:t>
            </w:r>
          </w:p>
        </w:tc>
        <w:tc>
          <w:tcPr>
            <w:tcW w:type="dxa" w:w="8561"/>
          </w:tcPr>
          <w:p>
            <w:pPr>
              <w:pStyle w:val="Smallintable"/>
            </w:pPr>
            <w:r>
              <w:t>In vegetable oil</w:t>
            </w:r>
          </w:p>
        </w:tc>
      </w:tr>
      <w:tr>
        <w:tc>
          <w:tcPr>
            <w:tcW w:type="dxa" w:w="1984"/>
          </w:tcPr>
          <w:p>
            <w:pPr>
              <w:pStyle w:val="Smallintable"/>
            </w:pPr>
            <w:r>
              <w:t>1604144800</w:t>
            </w:r>
          </w:p>
        </w:tc>
        <w:tc>
          <w:tcPr>
            <w:tcW w:type="dxa" w:w="8561"/>
          </w:tcPr>
          <w:p>
            <w:pPr>
              <w:pStyle w:val="Smallintable"/>
            </w:pPr>
            <w:r>
              <w:t>Other</w:t>
            </w:r>
          </w:p>
        </w:tc>
      </w:tr>
      <w:tr>
        <w:tc>
          <w:tcPr>
            <w:tcW w:type="dxa" w:w="1984"/>
          </w:tcPr>
          <w:p>
            <w:pPr>
              <w:pStyle w:val="Smallintable"/>
            </w:pPr>
            <w:r>
              <w:t>1604207030</w:t>
            </w:r>
          </w:p>
        </w:tc>
        <w:tc>
          <w:tcPr>
            <w:tcW w:type="dxa" w:w="8561"/>
          </w:tcPr>
          <w:p>
            <w:pPr>
              <w:pStyle w:val="Smallintable"/>
            </w:pPr>
            <w:r>
              <w:t>Preserved</w:t>
            </w:r>
          </w:p>
        </w:tc>
      </w:tr>
      <w:tr>
        <w:tc>
          <w:tcPr>
            <w:tcW w:type="dxa" w:w="1984"/>
          </w:tcPr>
          <w:p>
            <w:pPr>
              <w:pStyle w:val="Smallintable"/>
            </w:pPr>
            <w:r>
              <w:t>1604207040</w:t>
            </w:r>
          </w:p>
        </w:tc>
        <w:tc>
          <w:tcPr>
            <w:tcW w:type="dxa" w:w="8561"/>
          </w:tcPr>
          <w:p>
            <w:pPr>
              <w:pStyle w:val="Smallintable"/>
            </w:pPr>
            <w:r>
              <w:t>Preserved</w:t>
            </w:r>
          </w:p>
        </w:tc>
      </w:tr>
      <w:tr>
        <w:tc>
          <w:tcPr>
            <w:tcW w:type="dxa" w:w="1984"/>
          </w:tcPr>
          <w:p>
            <w:pPr>
              <w:pStyle w:val="Smallintable"/>
            </w:pPr>
            <w:r>
              <w:t>1604207050</w:t>
            </w:r>
          </w:p>
        </w:tc>
        <w:tc>
          <w:tcPr>
            <w:tcW w:type="dxa" w:w="8561"/>
          </w:tcPr>
          <w:p>
            <w:pPr>
              <w:pStyle w:val="Smallintable"/>
            </w:pPr>
            <w:r>
              <w:t>Preserved</w:t>
            </w:r>
          </w:p>
        </w:tc>
      </w:tr>
      <w:tr>
        <w:tc>
          <w:tcPr>
            <w:tcW w:type="dxa" w:w="1984"/>
          </w:tcPr>
          <w:p>
            <w:pPr>
              <w:pStyle w:val="Smallintable"/>
            </w:pPr>
            <w:r>
              <w:t>1604207092</w:t>
            </w:r>
          </w:p>
        </w:tc>
        <w:tc>
          <w:tcPr>
            <w:tcW w:type="dxa" w:w="8561"/>
          </w:tcPr>
          <w:p>
            <w:pPr>
              <w:pStyle w:val="Smallintable"/>
            </w:pPr>
            <w:r>
              <w:t>Albacore tuna (Thunnus alalunga)</w:t>
            </w:r>
          </w:p>
        </w:tc>
      </w:tr>
      <w:tr>
        <w:tc>
          <w:tcPr>
            <w:tcW w:type="dxa" w:w="1984"/>
          </w:tcPr>
          <w:p>
            <w:pPr>
              <w:pStyle w:val="Smallintable"/>
            </w:pPr>
            <w:r>
              <w:t>1604207094</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DECISION No 1/2017 OF THE ESA-EU CUSTOMS COOPERATION COMMITTEE on a derogation from the rules of origin laid down in Protocol 1 to the Interim Agreement establishing a framework for an Economic Partnership Agreement between the Eastern and Southern Africa States, of the one part, and the European Community and its Member States, of the other part, to take account of the special situation of the Eastern and Southern Africa States with regard to preserved tuna and tuna loins [2017/1923] OJ L 271)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8,000,000.00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