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Whey</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0404100000</w:t>
            </w:r>
          </w:p>
        </w:tc>
        <w:tc>
          <w:tcPr>
            <w:tcW w:type="dxa" w:w="8561"/>
          </w:tcPr>
          <w:p>
            <w:pPr>
              <w:pStyle w:val="Smallintable"/>
            </w:pPr>
            <w:r>
              <w:t>Whey and modified whey, whether or not concentrated or containing added sugar or other sweetening matter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