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Apple juice</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3,712,000.00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2009710000</w:t>
            </w:r>
          </w:p>
        </w:tc>
        <w:tc>
          <w:tcPr>
            <w:tcW w:type="dxa" w:w="8561"/>
          </w:tcPr>
          <w:p>
            <w:pPr>
              <w:pStyle w:val="Smallintable"/>
            </w:pPr>
            <w:r>
              <w:t>Of a Brix value not exceeding 20</w:t>
            </w:r>
          </w:p>
        </w:tc>
      </w:tr>
      <w:tr>
        <w:tc>
          <w:tcPr>
            <w:tcW w:type="dxa" w:w="1984"/>
          </w:tcPr>
          <w:p>
            <w:pPr>
              <w:pStyle w:val="Smallintable"/>
            </w:pPr>
            <w:r>
              <w:t>2009791100</w:t>
            </w:r>
          </w:p>
        </w:tc>
        <w:tc>
          <w:tcPr>
            <w:tcW w:type="dxa" w:w="8561"/>
          </w:tcPr>
          <w:p>
            <w:pPr>
              <w:pStyle w:val="Smallintable"/>
            </w:pPr>
            <w:r>
              <w:t>Of a value not exceeding ???|22|per 100|kg net weight</w:t>
            </w:r>
          </w:p>
        </w:tc>
      </w:tr>
      <w:tr>
        <w:tc>
          <w:tcPr>
            <w:tcW w:type="dxa" w:w="1984"/>
          </w:tcPr>
          <w:p>
            <w:pPr>
              <w:pStyle w:val="Smallintable"/>
            </w:pPr>
            <w:r>
              <w:t>2009791900</w:t>
            </w:r>
          </w:p>
        </w:tc>
        <w:tc>
          <w:tcPr>
            <w:tcW w:type="dxa" w:w="8561"/>
          </w:tcPr>
          <w:p>
            <w:pPr>
              <w:pStyle w:val="Smallintable"/>
            </w:pPr>
            <w:r>
              <w:t>Other</w:t>
            </w:r>
          </w:p>
        </w:tc>
      </w:tr>
      <w:tr>
        <w:tc>
          <w:tcPr>
            <w:tcW w:type="dxa" w:w="1984"/>
          </w:tcPr>
          <w:p>
            <w:pPr>
              <w:pStyle w:val="Smallintable"/>
            </w:pPr>
            <w:r>
              <w:t>2009793000</w:t>
            </w:r>
          </w:p>
        </w:tc>
        <w:tc>
          <w:tcPr>
            <w:tcW w:type="dxa" w:w="8561"/>
          </w:tcPr>
          <w:p>
            <w:pPr>
              <w:pStyle w:val="Smallintable"/>
            </w:pPr>
            <w:r>
              <w:t>Of a value exceeding ???|18|per 100|kg net weight, containing added sugar</w:t>
            </w:r>
          </w:p>
        </w:tc>
      </w:tr>
      <w:tr>
        <w:tc>
          <w:tcPr>
            <w:tcW w:type="dxa" w:w="1984"/>
          </w:tcPr>
          <w:p>
            <w:pPr>
              <w:pStyle w:val="Smallintable"/>
            </w:pPr>
            <w:r>
              <w:t>2009799100</w:t>
            </w:r>
          </w:p>
        </w:tc>
        <w:tc>
          <w:tcPr>
            <w:tcW w:type="dxa" w:w="8561"/>
          </w:tcPr>
          <w:p>
            <w:pPr>
              <w:pStyle w:val="Smallintable"/>
            </w:pPr>
            <w:r>
              <w:t>With an added sugar content exceeding 30|% by weight</w:t>
            </w:r>
          </w:p>
        </w:tc>
      </w:tr>
      <w:tr>
        <w:tc>
          <w:tcPr>
            <w:tcW w:type="dxa" w:w="1984"/>
          </w:tcPr>
          <w:p>
            <w:pPr>
              <w:pStyle w:val="Smallintable"/>
            </w:pPr>
            <w:r>
              <w:t>2009799800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2009710000</w:t>
            </w:r>
          </w:p>
        </w:tc>
        <w:tc>
          <w:tcPr>
            <w:tcW w:type="dxa" w:w="4706"/>
          </w:tcPr>
          <w:p>
            <w:pPr>
              <w:pStyle w:val="Smallintable"/>
            </w:pPr>
            <w:r>
              <w:t>143 [Preferential tariff quota]</w:t>
            </w:r>
          </w:p>
        </w:tc>
        <w:tc>
          <w:tcPr>
            <w:tcW w:type="dxa" w:w="3855"/>
          </w:tcPr>
          <w:p>
            <w:pPr>
              <w:pStyle w:val="Smallintable"/>
            </w:pPr>
            <w:r>
              <w:t>9.0%</w:t>
            </w:r>
          </w:p>
        </w:tc>
      </w:tr>
      <w:tr>
        <w:tc>
          <w:tcPr>
            <w:tcW w:type="dxa" w:w="1984"/>
          </w:tcPr>
          <w:p>
            <w:pPr>
              <w:pStyle w:val="Smallintable"/>
            </w:pPr>
            <w:r>
              <w:t>2009791100</w:t>
            </w:r>
          </w:p>
        </w:tc>
        <w:tc>
          <w:tcPr>
            <w:tcW w:type="dxa" w:w="4706"/>
          </w:tcPr>
          <w:p>
            <w:pPr>
              <w:pStyle w:val="Smallintable"/>
            </w:pPr>
            <w:r>
              <w:t>143 [Preferential tariff quota]</w:t>
            </w:r>
          </w:p>
        </w:tc>
        <w:tc>
          <w:tcPr>
            <w:tcW w:type="dxa" w:w="3855"/>
          </w:tcPr>
          <w:p>
            <w:pPr>
              <w:pStyle w:val="Smallintable"/>
            </w:pPr>
            <w:r>
              <w:t>15.0% + 9.2 EUR / 100 kg</w:t>
            </w:r>
          </w:p>
        </w:tc>
      </w:tr>
      <w:tr>
        <w:tc>
          <w:tcPr>
            <w:tcW w:type="dxa" w:w="1984"/>
          </w:tcPr>
          <w:p>
            <w:pPr>
              <w:pStyle w:val="Smallintable"/>
            </w:pPr>
            <w:r>
              <w:t>2009791900</w:t>
            </w:r>
          </w:p>
        </w:tc>
        <w:tc>
          <w:tcPr>
            <w:tcW w:type="dxa" w:w="4706"/>
          </w:tcPr>
          <w:p>
            <w:pPr>
              <w:pStyle w:val="Smallintable"/>
            </w:pPr>
            <w:r>
              <w:t>143 [Preferential tariff quota]</w:t>
            </w:r>
          </w:p>
        </w:tc>
        <w:tc>
          <w:tcPr>
            <w:tcW w:type="dxa" w:w="3855"/>
          </w:tcPr>
          <w:p>
            <w:pPr>
              <w:pStyle w:val="Smallintable"/>
            </w:pPr>
            <w:r>
              <w:t>15.0%</w:t>
            </w:r>
          </w:p>
        </w:tc>
      </w:tr>
      <w:tr>
        <w:tc>
          <w:tcPr>
            <w:tcW w:type="dxa" w:w="1984"/>
          </w:tcPr>
          <w:p>
            <w:pPr>
              <w:pStyle w:val="Smallintable"/>
            </w:pPr>
            <w:r>
              <w:t>2009793000</w:t>
            </w:r>
          </w:p>
        </w:tc>
        <w:tc>
          <w:tcPr>
            <w:tcW w:type="dxa" w:w="4706"/>
          </w:tcPr>
          <w:p>
            <w:pPr>
              <w:pStyle w:val="Smallintable"/>
            </w:pPr>
            <w:r>
              <w:t>143 [Preferential tariff quota]</w:t>
            </w:r>
          </w:p>
        </w:tc>
        <w:tc>
          <w:tcPr>
            <w:tcW w:type="dxa" w:w="3855"/>
          </w:tcPr>
          <w:p>
            <w:pPr>
              <w:pStyle w:val="Smallintable"/>
            </w:pPr>
            <w:r>
              <w:t>9.0%</w:t>
            </w:r>
          </w:p>
        </w:tc>
      </w:tr>
      <w:tr>
        <w:tc>
          <w:tcPr>
            <w:tcW w:type="dxa" w:w="1984"/>
          </w:tcPr>
          <w:p>
            <w:pPr>
              <w:pStyle w:val="Smallintable"/>
            </w:pPr>
            <w:r>
              <w:t>2009799100</w:t>
            </w:r>
          </w:p>
        </w:tc>
        <w:tc>
          <w:tcPr>
            <w:tcW w:type="dxa" w:w="4706"/>
          </w:tcPr>
          <w:p>
            <w:pPr>
              <w:pStyle w:val="Smallintable"/>
            </w:pPr>
            <w:r>
              <w:t>143 [Preferential tariff quota]</w:t>
            </w:r>
          </w:p>
        </w:tc>
        <w:tc>
          <w:tcPr>
            <w:tcW w:type="dxa" w:w="3855"/>
          </w:tcPr>
          <w:p>
            <w:pPr>
              <w:pStyle w:val="Smallintable"/>
            </w:pPr>
            <w:r>
              <w:t>9.0% + 9.65 EUR / 100 kg</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3,712,000.00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