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094202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Viande des Grisons</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Licence</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Beef and Veal</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R130082</w:t>
            </w:r>
          </w:p>
        </w:tc>
        <w:tc>
          <w:tcPr>
            <w:tcW w:type="dxa" w:w="8277"/>
          </w:tcPr>
          <w:p>
            <w:pPr>
              <w:pStyle w:val="Smallintable"/>
            </w:pPr>
            <w:r>
              <w:t>laying down detailed rules for the application of an import tariff quota of dried boneless beef originating in Switzerland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0210209010</w:t>
            </w:r>
          </w:p>
        </w:tc>
        <w:tc>
          <w:tcPr>
            <w:tcW w:type="dxa" w:w="8561"/>
          </w:tcPr>
          <w:p>
            <w:pPr>
              <w:pStyle w:val="Smallintable"/>
            </w:pPr>
            <w:r>
              <w:t xml:space="preserve">Cuts of meat from haunches of bovine animals aged at least 18 months, with no visible intramuscular fat (3 to 7 %) and a pH of the fresh meat between 5.4 and 6.0; salted, seasoned, pressed, dried only in fresh dry air and developing noble mould (bloom of microscopic fungi); the weight of the finished product is between 41|% and 53|% of the raw material before salting </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