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not exceeding 1 %</w:t>
              <!--//-->
            </w:r>
          </w:p>
        </w:tc>
      </w:tr>
      <w:tr>
        <w:trPr>
          <w:cantSplit/>
        </w:trPr>
        <w:tc>
          <w:p>
            <w:pPr>
              <w:pStyle w:val="NormalinTable"/>
            </w:pPr>
            <w:r>
              <w:rPr>
                <w:b/>
              </w:rPr>
              <w:t>0401 10 10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w:r>
          </w:p>
        </w:tc>
      </w:tr>
      <w:tr>
        <w:trPr>
          <w:cantSplit/>
        </w:trPr>
        <w:tc>
          <w:p>
            <w:pPr>
              <w:pStyle w:val="NormalinTable"/>
            </w:pPr>
            <w:r>
              <w:rPr>
                <w:b/>
              </w:rPr>
              <w:t>0401 10 90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1 % but not 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3 %</w:t>
              <!--//-->
            </w:r>
          </w:p>
        </w:tc>
      </w:tr>
      <w:tr>
        <w:trPr>
          <w:cantSplit/>
        </w:trPr>
        <w:tc>
          <w:p>
            <w:pPr>
              <w:pStyle w:val="NormalinTable"/>
            </w:pPr>
            <w:r>
              <w:rPr>
                <w:b/>
              </w:rPr>
              <w:t>0401 20 11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3 %</w:t>
              <!--//-->
            </w:r>
          </w:p>
        </w:tc>
      </w:tr>
      <w:tr>
        <w:trPr>
          <w:cantSplit/>
        </w:trPr>
        <w:tc>
          <w:p>
            <w:pPr>
              <w:pStyle w:val="NormalinTable"/>
            </w:pPr>
            <w:r>
              <w:rPr>
                <w:b/>
              </w:rPr>
              <w:t>0401 20 91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6 % but not exceeding 10 %</w:t>
              <!--//-->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21 %</w:t>
              <!--//-->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 but not exceeding 45 %</w:t>
              <!--//-->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45 %</w:t>
              <!--//-->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granules or other solid forms, of a fat content, by weight, not exceeding 1,5 %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0402 10 11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w:r>
          </w:p>
        </w:tc>
      </w:tr>
      <w:tr>
        <w:trPr>
          <w:cantSplit/>
        </w:trPr>
        <w:tc>
          <w:p>
            <w:pPr>
              <w:pStyle w:val="NormalinTable"/>
            </w:pPr>
            <w:r>
              <w:rPr>
                <w:b/>
              </w:rPr>
              <w:t>0402 10 19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w:r>
          </w:p>
        </w:tc>
      </w:tr>
      <w:tr>
        <w:trPr>
          <w:cantSplit/>
        </w:trPr>
        <w:tc>
          <w:p>
            <w:pPr>
              <w:pStyle w:val="NormalinTable"/>
            </w:pPr>
            <w:r>
              <w:rPr>
                <w:b/>
              </w:rPr>
              <w:t>0402 10 99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granules or other solid forms, of a fat content, by weight, exceeding 1,5 %</w:t>
              <!--//-->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
            </w:r>
          </w:p>
        </w:tc>
      </w:tr>
      <w:tr>
        <w:trPr>
          <w:cantSplit/>
        </w:trPr>
        <w:tc>
          <w:p>
            <w:pPr>
              <w:pStyle w:val="NormalinTable"/>
            </w:pPr>
            <w:r>
              <w:rPr>
                <w:b/>
              </w:rPr>
              <w:t>0402 21 11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
            </w:r>
          </w:p>
        </w:tc>
      </w:tr>
      <w:tr>
        <w:trPr>
          <w:cantSplit/>
        </w:trPr>
        <w:tc>
          <w:p>
            <w:pPr>
              <w:pStyle w:val="NormalinTable"/>
            </w:pPr>
            <w:r>
              <w:rPr>
                <w:b/>
              </w:rPr>
              <w:t>0402 21 91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
            </w:r>
          </w:p>
        </w:tc>
      </w:tr>
      <w:tr>
        <w:trPr>
          <w:cantSplit/>
        </w:trPr>
        <w:tc>
          <w:p>
            <w:pPr>
              <w:pStyle w:val="NormalinTable"/>
            </w:pPr>
            <w:r>
              <w:rPr>
                <w:b/>
              </w:rPr>
              <w:t>0402 29 11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w:r>
          </w:p>
        </w:tc>
      </w:tr>
      <w:tr>
        <w:trPr>
          <w:cantSplit/>
        </w:trPr>
        <w:tc>
          <w:p>
            <w:pPr>
              <w:pStyle w:val="NormalinTable"/>
            </w:pPr>
            <w:r>
              <w:rPr>
                <w:b/>
              </w:rPr>
              <w:t>0402 29 19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
            </w:r>
          </w:p>
        </w:tc>
      </w:tr>
      <w:tr>
        <w:trPr>
          <w:cantSplit/>
        </w:trPr>
        <w:tc>
          <w:p>
            <w:pPr>
              <w:pStyle w:val="NormalinTable"/>
            </w:pPr>
            <w:r>
              <w:rPr>
                <w:b/>
              </w:rPr>
              <w:t>0402 29 91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0402 91 10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8 %</w:t>
              <!--//-->
            </w:r>
          </w:p>
        </w:tc>
      </w:tr>
      <w:tr>
        <w:trPr>
          <w:cantSplit/>
        </w:trPr>
        <w:tc>
          <w:p>
            <w:pPr>
              <w:pStyle w:val="NormalinTable"/>
            </w:pPr>
            <w:r>
              <w:rPr>
                <w:b/>
              </w:rPr>
              <w:t>0402 91 30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 but not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 but not exceeding 45 %</w:t>
              <!--//-->
            </w:r>
          </w:p>
        </w:tc>
      </w:tr>
      <w:tr>
        <w:trPr>
          <w:cantSplit/>
        </w:trPr>
        <w:tc>
          <w:p>
            <w:pPr>
              <w:pStyle w:val="NormalinTable"/>
            </w:pPr>
            <w:r>
              <w:rPr>
                <w:b/>
              </w:rPr>
              <w:t>0402 91 51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
            </w:r>
          </w:p>
        </w:tc>
      </w:tr>
      <w:tr>
        <w:trPr>
          <w:cantSplit/>
        </w:trPr>
        <w:tc>
          <w:p>
            <w:pPr>
              <w:pStyle w:val="NormalinTable"/>
            </w:pPr>
            <w:r>
              <w:rPr>
                <w:b/>
              </w:rPr>
              <w:t>0402 91 91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 but not exceeding 45 %</w:t>
              <!--//-->
            </w:r>
          </w:p>
        </w:tc>
      </w:tr>
      <w:tr>
        <w:trPr>
          <w:cantSplit/>
        </w:trPr>
        <w:tc>
          <w:p>
            <w:pPr>
              <w:pStyle w:val="NormalinTable"/>
            </w:pPr>
            <w:r>
              <w:rPr>
                <w:b/>
              </w:rPr>
              <w:t>0402 99 31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
            </w:r>
          </w:p>
        </w:tc>
      </w:tr>
      <w:tr>
        <w:trPr>
          <w:cantSplit/>
        </w:trPr>
        <w:tc>
          <w:p>
            <w:pPr>
              <w:pStyle w:val="NormalinTable"/>
            </w:pPr>
            <w:r>
              <w:rPr>
                <w:b/>
              </w:rPr>
              <w:t>0402 99 91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Yogurt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w:r>
          </w:p>
        </w:tc>
      </w:tr>
      <w:tr>
        <w:trPr>
          <w:cantSplit/>
        </w:trPr>
        <w:tc>
          <w:p>
            <w:pPr>
              <w:pStyle w:val="NormalinTable"/>
            </w:pPr>
            <w:r>
              <w:rPr>
                <w:b/>
              </w:rPr>
              <w:t>0403 10 11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w:r>
          </w:p>
        </w:tc>
      </w:tr>
      <w:tr>
        <w:trPr>
          <w:cantSplit/>
        </w:trPr>
        <w:tc>
          <w:p>
            <w:pPr>
              <w:pStyle w:val="NormalinTable"/>
            </w:pPr>
            <w:r>
              <w:rPr>
                <w:b/>
              </w:rPr>
              <w:t>0403 10 31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w:r>
          </w:p>
        </w:tc>
      </w:tr>
      <w:tr>
        <w:trPr>
          <w:cantSplit/>
        </w:trPr>
        <w:tc>
          <w:p>
            <w:pPr>
              <w:pStyle w:val="NormalinTable"/>
            </w:pPr>
            <w:r>
              <w:rPr>
                <w:b/>
              </w:rPr>
              <w:t>0403 10 51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
            </w:r>
          </w:p>
        </w:tc>
      </w:tr>
      <w:tr>
        <w:trPr>
          <w:cantSplit/>
        </w:trPr>
        <w:tc>
          <w:p>
            <w:pPr>
              <w:pStyle w:val="NormalinTable"/>
            </w:pPr>
            <w:r>
              <w:rPr>
                <w:b/>
              </w:rPr>
              <w:t>0403 10 53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
            </w:r>
          </w:p>
        </w:tc>
      </w:tr>
      <w:tr>
        <w:trPr>
          <w:cantSplit/>
        </w:trPr>
        <w:tc>
          <w:p>
            <w:pPr>
              <w:pStyle w:val="NormalinTable"/>
            </w:pPr>
            <w:r>
              <w:rPr>
                <w:b/>
              </w:rPr>
              <w:t>0403 10 59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w:r>
          </w:p>
        </w:tc>
      </w:tr>
      <w:tr>
        <w:trPr>
          <w:cantSplit/>
        </w:trPr>
        <w:tc>
          <w:p>
            <w:pPr>
              <w:pStyle w:val="NormalinTable"/>
            </w:pPr>
            <w:r>
              <w:rPr>
                <w:b/>
              </w:rPr>
              <w:t>0403 10 91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w:r>
          </w:p>
        </w:tc>
      </w:tr>
      <w:tr>
        <w:trPr>
          <w:cantSplit/>
        </w:trPr>
        <w:tc>
          <w:p>
            <w:pPr>
              <w:pStyle w:val="NormalinTable"/>
            </w:pPr>
            <w:r>
              <w:rPr>
                <w:b/>
              </w:rPr>
              <w:t>0403 90 11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0403 90 13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w:r>
          </w:p>
        </w:tc>
      </w:tr>
      <w:tr>
        <w:trPr>
          <w:cantSplit/>
        </w:trPr>
        <w:tc>
          <w:p>
            <w:pPr>
              <w:pStyle w:val="NormalinTable"/>
            </w:pPr>
            <w:r>
              <w:rPr>
                <w:b/>
              </w:rPr>
              <w:t>0403 90 31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0403 90 33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0403 90 39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w:r>
          </w:p>
        </w:tc>
      </w:tr>
      <w:tr>
        <w:trPr>
          <w:cantSplit/>
        </w:trPr>
        <w:tc>
          <w:p>
            <w:pPr>
              <w:pStyle w:val="NormalinTable"/>
            </w:pPr>
            <w:r>
              <w:rPr>
                <w:b/>
              </w:rPr>
              <w:t>0403 90 51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
            </w:r>
          </w:p>
        </w:tc>
      </w:tr>
      <w:tr>
        <w:trPr>
          <w:cantSplit/>
        </w:trPr>
        <w:tc>
          <w:p>
            <w:pPr>
              <w:pStyle w:val="NormalinTable"/>
            </w:pPr>
            <w:r>
              <w:rPr>
                <w:b/>
              </w:rPr>
              <w:t>0403 90 53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
            </w:r>
          </w:p>
        </w:tc>
      </w:tr>
      <w:tr>
        <w:trPr>
          <w:cantSplit/>
        </w:trPr>
        <w:tc>
          <w:p>
            <w:pPr>
              <w:pStyle w:val="NormalinTable"/>
            </w:pPr>
            <w:r>
              <w:rPr>
                <w:b/>
              </w:rPr>
              <w:t>0403 90 59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w:r>
          </w:p>
        </w:tc>
      </w:tr>
      <w:tr>
        <w:trPr>
          <w:cantSplit/>
        </w:trPr>
        <w:tc>
          <w:p>
            <w:pPr>
              <w:pStyle w:val="NormalinTable"/>
            </w:pPr>
            <w:r>
              <w:rPr>
                <w:b/>
              </w:rPr>
              <w:t>0403 90 61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
            </w:r>
          </w:p>
        </w:tc>
      </w:tr>
      <w:tr>
        <w:trPr>
          <w:cantSplit/>
        </w:trPr>
        <w:tc>
          <w:p>
            <w:pPr>
              <w:pStyle w:val="NormalinTable"/>
            </w:pPr>
            <w:r>
              <w:rPr>
                <w:b/>
              </w:rPr>
              <w:t>0403 90 63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
            </w:r>
          </w:p>
        </w:tc>
      </w:tr>
      <w:tr>
        <w:trPr>
          <w:cantSplit/>
        </w:trPr>
        <w:tc>
          <w:p>
            <w:pPr>
              <w:pStyle w:val="NormalinTable"/>
            </w:pPr>
            <w:r>
              <w:rPr>
                <w:b/>
              </w:rPr>
              <w:t>0403 90 69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w:r>
          </w:p>
        </w:tc>
      </w:tr>
      <w:tr>
        <w:trPr>
          <w:cantSplit/>
        </w:trPr>
        <w:tc>
          <w:p>
            <w:pPr>
              <w:pStyle w:val="NormalinTable"/>
            </w:pPr>
            <w:r>
              <w:rPr>
                <w:b/>
              </w:rPr>
              <w:t>0403 90 71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
            </w:r>
          </w:p>
        </w:tc>
      </w:tr>
      <w:tr>
        <w:trPr>
          <w:cantSplit/>
        </w:trPr>
        <w:tc>
          <w:p>
            <w:pPr>
              <w:pStyle w:val="NormalinTable"/>
            </w:pPr>
            <w:r>
              <w:rPr>
                <w:b/>
              </w:rPr>
              <w:t>0403 90 73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
            </w:r>
          </w:p>
        </w:tc>
      </w:tr>
      <w:tr>
        <w:trPr>
          <w:cantSplit/>
        </w:trPr>
        <w:tc>
          <w:p>
            <w:pPr>
              <w:pStyle w:val="NormalinTable"/>
            </w:pPr>
            <w:r>
              <w:rPr>
                <w:b/>
              </w:rPr>
              <w:t>0403 90 79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w:r>
          </w:p>
        </w:tc>
      </w:tr>
      <w:tr>
        <w:trPr>
          <w:cantSplit/>
        </w:trPr>
        <w:tc>
          <w:p>
            <w:pPr>
              <w:pStyle w:val="NormalinTable"/>
            </w:pPr>
            <w:r>
              <w:rPr>
                <w:b/>
              </w:rPr>
              <w:t>0403 90 91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Whey and modified whey, whether or not concentrated or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w:r>
          </w:p>
        </w:tc>
      </w:tr>
      <w:tr>
        <w:trPr>
          <w:cantSplit/>
        </w:trPr>
        <w:tc>
          <w:p>
            <w:pPr>
              <w:pStyle w:val="NormalinTable"/>
            </w:pPr>
            <w:r>
              <w:rPr>
                <w:b/>
              </w:rPr>
              <w:t>0404 90 21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
            </w:r>
          </w:p>
        </w:tc>
      </w:tr>
      <w:tr>
        <w:trPr>
          <w:cantSplit/>
        </w:trPr>
        <w:tc>
          <w:p>
            <w:pPr>
              <w:pStyle w:val="NormalinTable"/>
            </w:pPr>
            <w:r>
              <w:rPr>
                <w:b/>
              </w:rPr>
              <w:t>0404 90 23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
            </w:r>
          </w:p>
        </w:tc>
      </w:tr>
      <w:tr>
        <w:trPr>
          <w:cantSplit/>
        </w:trPr>
        <w:tc>
          <w:p>
            <w:pPr>
              <w:pStyle w:val="NormalinTable"/>
            </w:pPr>
            <w:r>
              <w:rPr>
                <w:b/>
              </w:rPr>
              <w:t>0404 90 29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w:r>
          </w:p>
        </w:tc>
      </w:tr>
      <w:tr>
        <w:trPr>
          <w:cantSplit/>
        </w:trPr>
        <w:tc>
          <w:p>
            <w:pPr>
              <w:pStyle w:val="NormalinTable"/>
            </w:pPr>
            <w:r>
              <w:rPr>
                <w:b/>
              </w:rPr>
              <w:t>0404 90 81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0404 90 89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w:r>
          </w:p>
        </w:tc>
      </w:tr>
      <w:tr>
        <w:trPr>
          <w:cantSplit/>
        </w:trPr>
        <w:tc>
          <w:p>
            <w:pPr>
              <w:pStyle w:val="NormalinTable"/>
            </w:pPr>
            <w:r>
              <w:rPr>
                <w:b/>
              </w:rPr>
              <w:t>0405 10 90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Dairy spreads</w:t>
              <!--//-->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 or more but less than 60 %</w:t>
              <!--//-->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 or more but not exceeding 75 %</w:t>
              <!--//-->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 but less than 80 %</w:t>
              <!--//-->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 or more and of a water content, by weight, not exceeding 0,5 %</w:t>
              <!--//-->
            </w:r>
          </w:p>
        </w:tc>
      </w:tr>
      <w:tr>
        <w:trPr>
          <w:cantSplit/>
        </w:trPr>
        <w:tc>
          <w:p>
            <w:pPr>
              <w:pStyle w:val="NormalinTable"/>
            </w:pPr>
            <w:r>
              <w:rPr>
                <w:b/>
              </w:rPr>
              <w:t>0405 90 90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(unripened or uncured) cheese, including whey cheese, and curd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40 %</w:t>
              <!--//-->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Grated or powdered cheese, of all kinds</w:t>
              <!--//-->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Processed cheese, not grated or powdered</w:t>
              <!--//-->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56 %</w:t>
              <!--//-->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 and of a fat content, by weight, in the dry matter</w:t>
              <!--//-->
            </w:r>
          </w:p>
        </w:tc>
      </w:tr>
      <w:tr>
        <w:trPr>
          <w:cantSplit/>
        </w:trPr>
        <w:tc>
          <w:p>
            <w:pPr>
              <w:pStyle w:val="NormalinTable"/>
            </w:pPr>
            <w:r>
              <w:rPr>
                <w:b/>
              </w:rPr>
              <w:t>0406 30 31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48 %</w:t>
              <!--//-->
            </w:r>
          </w:p>
        </w:tc>
      </w:tr>
      <w:tr>
        <w:trPr>
          <w:cantSplit/>
        </w:trPr>
        <w:tc>
          <w:p>
            <w:pPr>
              <w:pStyle w:val="NormalinTable"/>
            </w:pPr>
            <w:r>
              <w:rPr>
                <w:b/>
              </w:rPr>
              <w:t>0406 30 39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48 %</w:t>
              <!--//-->
            </w:r>
          </w:p>
        </w:tc>
      </w:tr>
      <w:tr>
        <w:trPr>
          <w:cantSplit/>
        </w:trPr>
        <w:tc>
          <w:p>
            <w:pPr>
              <w:pStyle w:val="NormalinTable"/>
            </w:pPr>
            <w:r>
              <w:rPr>
                <w:b/>
              </w:rPr>
              <w:t>0406 30 90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36 %</w:t>
              <!--//-->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Blue-veined cheese and other cheese containing veins produced by Penicillium roqueforti</w:t>
              <!--//-->
            </w:r>
          </w:p>
        </w:tc>
      </w:tr>
      <w:tr>
        <w:trPr>
          <w:cantSplit/>
        </w:trPr>
        <w:tc>
          <w:p>
            <w:pPr>
              <w:pStyle w:val="NormalinTable"/>
            </w:pPr>
            <w:r>
              <w:rPr>
                <w:b/>
              </w:rPr>
              <w:t>0406 40 10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w:r>
          </w:p>
        </w:tc>
      </w:tr>
      <w:tr>
        <w:trPr>
          <w:cantSplit/>
        </w:trPr>
        <w:tc>
          <w:p>
            <w:pPr>
              <w:pStyle w:val="NormalinTable"/>
            </w:pPr>
            <w:r>
              <w:rPr>
                <w:b/>
              </w:rPr>
              <w:t>0406 40 50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w:r>
          </w:p>
        </w:tc>
      </w:tr>
      <w:tr>
        <w:trPr>
          <w:cantSplit/>
        </w:trPr>
        <w:tc>
          <w:p>
            <w:pPr>
              <w:pStyle w:val="NormalinTable"/>
            </w:pPr>
            <w:r>
              <w:rPr>
                <w:b/>
              </w:rPr>
              <w:t>0406 40 90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cheese</w:t>
              <!--//-->
            </w:r>
          </w:p>
        </w:tc>
      </w:tr>
      <w:tr>
        <w:trPr>
          <w:cantSplit/>
        </w:trPr>
        <w:tc>
          <w:p>
            <w:pPr>
              <w:pStyle w:val="NormalinTable"/>
            </w:pPr>
            <w:r>
              <w:rPr>
                <w:b/>
              </w:rPr>
              <w:t>0406 90 01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w:r>
          </w:p>
        </w:tc>
      </w:tr>
      <w:tr>
        <w:trPr>
          <w:cantSplit/>
        </w:trPr>
        <w:tc>
          <w:p>
            <w:pPr>
              <w:pStyle w:val="NormalinTable"/>
            </w:pPr>
            <w:r>
              <w:rPr>
                <w:b/>
              </w:rPr>
              <w:t>0406 90 15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w:r>
          </w:p>
        </w:tc>
      </w:tr>
      <w:tr>
        <w:trPr>
          <w:cantSplit/>
        </w:trPr>
        <w:tc>
          <w:p>
            <w:pPr>
              <w:pStyle w:val="NormalinTable"/>
            </w:pPr>
            <w:r>
              <w:rPr>
                <w:b/>
              </w:rPr>
              <w:t>0406 90 17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w:r>
          </w:p>
        </w:tc>
      </w:tr>
      <w:tr>
        <w:trPr>
          <w:cantSplit/>
        </w:trPr>
        <w:tc>
          <w:p>
            <w:pPr>
              <w:pStyle w:val="NormalinTable"/>
            </w:pPr>
            <w:r>
              <w:rPr>
                <w:b/>
              </w:rPr>
              <w:t>0406 90 18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w:r>
          </w:p>
        </w:tc>
      </w:tr>
      <w:tr>
        <w:trPr>
          <w:cantSplit/>
        </w:trPr>
        <w:tc>
          <w:p>
            <w:pPr>
              <w:pStyle w:val="NormalinTable"/>
            </w:pPr>
            <w:r>
              <w:rPr>
                <w:b/>
              </w:rPr>
              <w:t>0406 90 25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w:r>
          </w:p>
        </w:tc>
      </w:tr>
      <w:tr>
        <w:trPr>
          <w:cantSplit/>
        </w:trPr>
        <w:tc>
          <w:p>
            <w:pPr>
              <w:pStyle w:val="NormalinTable"/>
            </w:pPr>
            <w:r>
              <w:rPr>
                <w:b/>
              </w:rPr>
              <w:t>0406 90 29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w:r>
          </w:p>
        </w:tc>
      </w:tr>
      <w:tr>
        <w:trPr>
          <w:cantSplit/>
        </w:trPr>
        <w:tc>
          <w:p>
            <w:pPr>
              <w:pStyle w:val="NormalinTable"/>
            </w:pPr>
            <w:r>
              <w:rPr>
                <w:b/>
              </w:rPr>
              <w:t>0406 90 32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w:r>
          </w:p>
        </w:tc>
      </w:tr>
      <w:tr>
        <w:trPr>
          <w:cantSplit/>
        </w:trPr>
        <w:tc>
          <w:p>
            <w:pPr>
              <w:pStyle w:val="NormalinTable"/>
            </w:pPr>
            <w:r>
              <w:rPr>
                <w:b/>
              </w:rPr>
              <w:t>0406 90 35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w:r>
          </w:p>
        </w:tc>
      </w:tr>
      <w:tr>
        <w:trPr>
          <w:cantSplit/>
        </w:trPr>
        <w:tc>
          <w:p>
            <w:pPr>
              <w:pStyle w:val="NormalinTable"/>
            </w:pPr>
            <w:r>
              <w:rPr>
                <w:b/>
              </w:rPr>
              <w:t>0406 90 37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w:r>
          </w:p>
        </w:tc>
      </w:tr>
      <w:tr>
        <w:trPr>
          <w:cantSplit/>
        </w:trPr>
        <w:tc>
          <w:p>
            <w:pPr>
              <w:pStyle w:val="NormalinTable"/>
            </w:pPr>
            <w:r>
              <w:rPr>
                <w:b/>
              </w:rPr>
              <w:t>0406 90 39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 and a water content, by weight, in the non-fatty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47 %</w:t>
              <!--//-->
            </w:r>
          </w:p>
        </w:tc>
      </w:tr>
      <w:tr>
        <w:trPr>
          <w:cantSplit/>
        </w:trPr>
        <w:tc>
          <w:p>
            <w:pPr>
              <w:pStyle w:val="NormalinTable"/>
            </w:pPr>
            <w:r>
              <w:rPr>
                <w:b/>
              </w:rPr>
              <w:t>0406 90 61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 but not exceeding 72 %</w:t>
              <!--//-->
            </w:r>
          </w:p>
        </w:tc>
      </w:tr>
      <w:tr>
        <w:trPr>
          <w:cantSplit/>
        </w:trPr>
        <w:tc>
          <w:p>
            <w:pPr>
              <w:pStyle w:val="NormalinTable"/>
            </w:pPr>
            <w:r>
              <w:rPr>
                <w:b/>
              </w:rPr>
              <w:t>0406 90 73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w:r>
          </w:p>
        </w:tc>
      </w:tr>
      <w:tr>
        <w:trPr>
          <w:cantSplit/>
        </w:trPr>
        <w:tc>
          <w:p>
            <w:pPr>
              <w:pStyle w:val="NormalinTable"/>
            </w:pPr>
            <w:r>
              <w:rPr>
                <w:b/>
              </w:rPr>
              <w:t>0406 90 74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w:r>
          </w:p>
        </w:tc>
      </w:tr>
      <w:tr>
        <w:trPr>
          <w:cantSplit/>
        </w:trPr>
        <w:tc>
          <w:p>
            <w:pPr>
              <w:pStyle w:val="NormalinTable"/>
            </w:pPr>
            <w:r>
              <w:rPr>
                <w:b/>
              </w:rPr>
              <w:t>0406 90 84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w:r>
          </w:p>
        </w:tc>
      </w:tr>
      <w:tr>
        <w:trPr>
          <w:cantSplit/>
        </w:trPr>
        <w:tc>
          <w:p>
            <w:pPr>
              <w:pStyle w:val="NormalinTable"/>
            </w:pPr>
            <w:r>
              <w:rPr>
                <w:b/>
              </w:rPr>
              <w:t>0406 90 85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 but not exceeding 52 %</w:t>
              <!--//-->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 but not exceeding 62 %</w:t>
              <!--//-->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 but not exceeding 72 %</w:t>
              <!--//-->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72 %</w:t>
              <!--//-->
            </w:r>
          </w:p>
        </w:tc>
      </w:tr>
      <w:tr>
        <w:trPr>
          <w:cantSplit/>
        </w:trPr>
        <w:tc>
          <w:p>
            <w:pPr>
              <w:pStyle w:val="NormalinTable"/>
            </w:pPr>
            <w:r>
              <w:rPr>
                <w:b/>
              </w:rPr>
              <w:t>0406 90 99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Fertilised eggs for incubation</w:t>
              <!--//-->
            </w:r>
          </w:p>
        </w:tc>
      </w:tr>
      <w:tr>
        <w:trPr>
          <w:cantSplit/>
        </w:trPr>
        <w:tc>
          <w:p>
            <w:pPr>
              <w:pStyle w:val="NormalinTable"/>
            </w:pPr>
            <w:r>
              <w:rPr>
                <w:b/>
              </w:rPr>
              <w:t>0407 11 00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w:r>
          </w:p>
        </w:tc>
      </w:tr>
      <w:tr>
        <w:trPr>
          <w:cantSplit/>
        </w:trPr>
        <w:tc>
          <w:p>
            <w:pPr>
              <w:pStyle w:val="NormalinTable"/>
            </w:pPr>
            <w:r>
              <w:rPr>
                <w:b/>
              </w:rPr>
              <w:t>0407 19 11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w:r>
          </w:p>
        </w:tc>
      </w:tr>
      <w:tr>
        <w:trPr>
          <w:cantSplit/>
        </w:trPr>
        <w:tc>
          <w:p>
            <w:pPr>
              <w:pStyle w:val="NormalinTable"/>
            </w:pPr>
            <w:r>
              <w:rPr>
                <w:b/>
              </w:rPr>
              <w:t>0407 19 19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eggs</w:t>
              <!--//-->
            </w:r>
          </w:p>
        </w:tc>
      </w:tr>
      <w:tr>
        <w:trPr>
          <w:cantSplit/>
        </w:trPr>
        <w:tc>
          <w:p>
            <w:pPr>
              <w:pStyle w:val="NormalinTable"/>
            </w:pPr>
            <w:r>
              <w:rPr>
                <w:b/>
              </w:rPr>
              <w:t>0407 21 00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w:r>
          </w:p>
        </w:tc>
      </w:tr>
      <w:tr>
        <w:trPr>
          <w:cantSplit/>
        </w:trPr>
        <w:tc>
          <w:p>
            <w:pPr>
              <w:pStyle w:val="NormalinTable"/>
            </w:pPr>
            <w:r>
              <w:rPr>
                <w:b/>
              </w:rPr>
              <w:t>0407 29 90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w:r>
          </w:p>
        </w:tc>
      </w:tr>
      <w:tr>
        <w:trPr>
          <w:cantSplit/>
        </w:trPr>
        <w:tc>
          <w:p>
            <w:pPr>
              <w:pStyle w:val="NormalinTable"/>
            </w:pPr>
            <w:r>
              <w:rPr>
                <w:b/>
              </w:rPr>
              <w:t>0407 90 90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Egg yolks</w:t>
              <!--//-->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0408 11 20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w:r>
          </w:p>
        </w:tc>
      </w:tr>
      <w:tr>
        <w:trPr>
          <w:cantSplit/>
        </w:trPr>
        <w:tc>
          <w:p>
            <w:pPr>
              <w:pStyle w:val="NormalinTable"/>
            </w:pPr>
            <w:r>
              <w:rPr>
                <w:b/>
              </w:rPr>
              <w:t>0408 19 89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0408 91 20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w:r>
          </w:p>
        </w:tc>
      </w:tr>
      <w:tr>
        <w:trPr>
          <w:cantSplit/>
        </w:trPr>
        <w:tc>
          <w:p>
            <w:pPr>
              <w:pStyle w:val="NormalinTable"/>
            </w:pPr>
            <w:r>
              <w:rPr>
                <w:b/>
              </w:rPr>
              <w:t>0410 00 00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