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99</w:t>
      </w:r>
      <w:r>
        <w:br/>
        <w:t/>
      </w:r>
    </w:p>
    <w:p>
      <w:pPr>
        <w:pStyle w:val="Heading3"/>
      </w:pPr>
      <w:r>
        <w:t>Chapter Notes</w:t>
      </w:r>
    </w:p>
    <w:p>
      <w:r>
        <w:t/>
      </w:r>
    </w:p>
    <w:p>
      <w:r>
        <w:t/>
      </w:r>
    </w:p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750" w:type="pct"/>
          </w:tcPr>
          <w:p>
            <w:pPr>
              <w:pStyle w:val="NormalinTable"/>
            </w:pPr>
            <w:r>
              <w:t>Classification</w:t>
            </w:r>
          </w:p>
        </w:tc>
        <w:tc>
          <w:tcPr>
            <w:tcW w:w="42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Certain goods, as provided for in Council Regulation (EC) No 1186/2009 (Import and Export)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9905 00 00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Personal property belonging to natural persons transferring their normal place of residence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9919 00 00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The following goods, other than those mentioned above: –- Trousseaux and household effects belonging to a person transferring his or her normal place of residence on the occasion of his or her marriage; personal property acquired by inheritance; –- School outfits, educational materials and related household effects; –- Coffins containing bodies, funerary urns containing the ashes of deceased persons and ornamental funerary articles; –- Goods for charitable or philanthropic organisations and goods for the benefit of disaster victims.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Goods delivered to vessels and aircraft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9930 24 00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goods from CN chapters 1 to 24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9930 27 00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goods from CN chapter 27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9930 99 00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goods classified elsewhere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9931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Goods delivered for the crew of the offshore installation or for the operation of the engines, machines and other equipment of the offshore installation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9931 24 00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goods from CN chapters 1 to 24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9931 27 00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goods from CN chapter 27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9931 99 00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>goods classified elsewhere</w:t>
              <!--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9950 00 00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Code used only in trading of goods between Member States for individual transactions whose value is less than € 200 and for reporting residual products in some cases</w:t>
              <!--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