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23</w:t>
      </w:r>
      <w:r>
        <w:br/>
        <w:t>Residues and Waste from the Food Industries; Prepared Animal Fodder</w:t>
      </w:r>
    </w:p>
    <w:p>
      <w:pPr>
        <w:pStyle w:val="Heading3"/>
      </w:pPr>
      <w:r>
        <w:t>Chapter Notes</w:t>
      </w:r>
    </w:p>
    <w:p>
      <w:r>
        <w:t>1. Heading 2309 includes products of a kind used in animal feeding, not elsewhere specified or included, obtained by processing vegetable or animal materials to such an extent that they have lost the essential characteristics of the original material, other than vegetable waste, vegetable residues and by-products of such processing.</w:t>
      </w:r>
    </w:p>
    <w:p>
      <w:r>
        <w:t/>
      </w:r>
    </w:p>
    <w:p>
      <w:pPr>
        <w:pStyle w:val="Heading3"/>
      </w:pPr>
      <w:r>
        <w:t> Subheading note </w:t>
      </w:r>
    </w:p>
    <w:p>
      <w:r>
        <w:t/>
      </w:r>
    </w:p>
    <w:p>
      <w:r>
        <w:t>1. For the purposes of subheading 2306 41, the expression 'low erucic acid rape or colza seeds' means seeds as defined in subheading note 1 to Chapter 12.</w:t>
      </w:r>
    </w:p>
    <w:p>
      <w:r>
        <w:t/>
      </w:r>
    </w:p>
    <w:p>
      <w:pPr>
        <w:pStyle w:val="Heading3"/>
      </w:pPr>
      <w:r>
        <w:t> Additional notes </w:t>
      </w:r>
    </w:p>
    <w:p>
      <w:r>
        <w:t/>
      </w:r>
    </w:p>
    <w:p>
      <w:r>
        <w:t>1. Subheadings 2303 10 11 and 2303 10 19 include only residues from the manufacture of starch from maize and do not cover blends of such residues with products derived from other plants or products derived from maize otherwise than in the course of the production of starch by the wet process. Their starch content may not exceed 28% by weight on the dry product in accordance with the method contained in Annex 111, part L, to Commission Regulation (EC) No 152/2009 and their fat content cannot exceed 4.5% by weight on the dry product determined in accordance with the method contained in Annex III, Part H, to Commission Regulation (EC) No 152/2009.</w:t>
      </w:r>
    </w:p>
    <w:p>
      <w:r>
        <w:t>2. Subheading 2306 90 05 includes only residues from the extraction of oil of germs of maize and containing the following ingredients in the quantities specified, calculated by weight on the dry product:</w:t>
      </w:r>
    </w:p>
    <w:p>
      <w:r>
        <w:t>(a) products of an oil content of less than 3%</w:t>
      </w:r>
    </w:p>
    <w:p>
      <w:r>
        <w:t>- starch content: less than 45%,</w:t>
      </w:r>
    </w:p>
    <w:p>
      <w:r>
        <w:t>- protein content (nitrogen content 6.25): not less than 11.5%;</w:t>
      </w:r>
    </w:p>
    <w:p>
      <w:r>
        <w:t>(b) products of an oil content of not less than 3% and not more than 8%:</w:t>
      </w:r>
    </w:p>
    <w:p>
      <w:r>
        <w:t>- starch content: less than 45%,</w:t>
      </w:r>
    </w:p>
    <w:p>
      <w:r>
        <w:t>- protein content (nitrogen content 6.25): not less than 13%.</w:t>
      </w:r>
    </w:p>
    <w:p>
      <w:r>
        <w:t>Moreover, such residues shall not contain ingredients which are not obtained from maize grains. For the determination of the starch and protein content, the methods set out in the Commission Regulation (EC) No 152/2009, Annex 111, parts L and C, are to be applied.</w:t>
      </w:r>
    </w:p>
    <w:p>
      <w:r>
        <w:t>For the determination of the oil and moisture content, the methods set out in Commission Regulation (EC) No 152/2009, Annex 111, parts H and A, respectively, are to be applied. Products containing components from parts of maize grains which have been added after processing and have not been subjected to the oil extraction process are excluded.</w:t>
      </w:r>
    </w:p>
    <w:p>
      <w:r>
        <w:t>3. For the purposes of subheadings 2307 00 11, 2307 00 19, 2308 00 11 and 2308 00 19, the following expressions shall have the meanings hereby assigned to them:</w:t>
      </w:r>
    </w:p>
    <w:p>
      <w:r>
        <w:t>- 'actual alcoholic strength by mass': the number of kilograms of pure alcohol contained in 100kg of the product,</w:t>
      </w:r>
    </w:p>
    <w:p>
      <w:r>
        <w:t>- 'potential alcoholic strength by mass': the number of kilograms of pure alcohol capable of being produced by total fermentation of the sugars contained in 100kg of the product,</w:t>
      </w:r>
    </w:p>
    <w:p>
      <w:r>
        <w:t>- 'total alcoholic strength by mass': the sum of the actual and potential alcoholic strengths by mass,</w:t>
      </w:r>
    </w:p>
    <w:p>
      <w:r>
        <w:t>- '% mas': the symbol for alcoholic strength by mass.</w:t>
      </w:r>
    </w:p>
    <w:p>
      <w:r>
        <w:t>4. For the purposes of subheadings 2309 10 11 to 2309 10 70 and 2309 90 31 to 2309 90 70, the expression 'milk products' means the products of headings 04.01, 04.02, 04.04, 04.05 and 04.06 and of subheadings 0403 10 11 to 0403 10 39, 0403 90 11 to 0403 90 69, 1702 11 00, 1702 19 00 and 2106 90 51.</w:t>
      </w:r>
    </w:p>
    <w:p>
      <w:r>
        <w:t>5. Subheading 2309 90 20 includes only residues from the manufacture of starch from maize, and does not cover blends of such residues with products derived from other plants or products derived from maize otherwise than in the course of the production of starch by the wet process, containing:</w:t>
      </w:r>
    </w:p>
    <w:p>
      <w:r>
        <w:t>- screenings from maize used in the wet process in a proportion not exceeding 15% by weight, and/or</w:t>
      </w:r>
    </w:p>
    <w:p>
      <w:r>
        <w:t>- residues of maize steep-water, from the wet process, including residues of steep-water used for the manufacture of alcohol or of other starch derived products.</w:t>
      </w:r>
    </w:p>
    <w:p>
      <w:r>
        <w:t>These products may also contain residues from the extraction of maize germ oil by the wet milling process.</w:t>
      </w:r>
    </w:p>
    <w:p>
      <w:r>
        <w:t>Their starch content may not exceed 28% by weight on the dry product in accordance with the method contained in Annex 111, part L, to Commission Regulation (EC) No 152/2009, their fat content may not exceed 4.5% by weight on the dry product determined in accordance with the method contained in Annex III, Part H, to Commission Regulation (EC) No 152/2009 and their protein content may not exceed 40% on the dry product determined in accordance with the method contained in Annex 111, part C, to Commission Regulation (EC) No 152/2009.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FOOT}//-->
            </w:r>
          </w:p>
        </w:tc>
        <!--<w:tc>
          <w:p>
            <w:pPr>
              <w:pStyle w:val="NormalinTable"/>
              <w:jc w:val="center"/>
            </w:pPr>
            <w:r>
              <w:t>{SUPPUNIT}</w:t>
            </w:r>
          </w:p>
        </w:tc>//-->
      </w:tr>
      <w:tr>
        <w:trPr>
          <w:cantSplit/>
        </w:trPr>
        <w:tc>
          <w:p>
            <w:pPr>
              <w:pStyle w:val="NormalinTable"/>
            </w:pPr>
            <w:r>
              <w:rPr>
                <w:b/>
              </w:rPr>
              <w:t>2301 10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FOOT}//-->
            </w:r>
          </w:p>
        </w:tc>
        <!--<w:tc>
          <w:p>
            <w:pPr>
              <w:pStyle w:val="NormalinTable"/>
              <w:jc w:val="center"/>
            </w:pPr>
            <w:r>
              <w:t>{SUPPUNIT}</w:t>
            </w:r>
          </w:p>
        </w:tc>//-->
      </w:tr>
      <w:tr>
        <w:trPr>
          <w:cantSplit/>
        </w:trPr>
        <w:tc>
          <w:p>
            <w:pPr>
              <w:pStyle w:val="NormalinTable"/>
            </w:pPr>
            <w:r>
              <w:rPr>
                <w:b/>
              </w:rPr>
              <w:t>2301 20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FOOT}//-->
            </w:r>
          </w:p>
        </w:tc>
        <!--<w:tc>
          <w:p>
            <w:pPr>
              <w:pStyle w:val="NormalinTable"/>
              <w:jc w:val="center"/>
            </w:pPr>
            <w:r>
              <w:t>{SUPPUNIT}</w:t>
            </w:r>
          </w:p>
        </w:tc>//-->
      </w:tr>
      <w:tr>
        <w:trPr>
          <w:cantSplit/>
        </w:trPr>
        <w:tc>
          <w:p>
            <w:pPr>
              <w:pStyle w:val="NormalinTable"/>
            </w:pPr>
            <w:r>
              <w:rPr>
                <w:b/>
              </w:rPr>
              <w:t>2302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FOOT}//-->
            </w:r>
          </w:p>
        </w:tc>
        <!--<w:tc>
          <w:p>
            <w:pPr>
              <w:pStyle w:val="NormalinTable"/>
              <w:jc w:val="center"/>
            </w:pPr>
            <w:r>
              <w:t>{SUPPUNIT}</w:t>
            </w:r>
          </w:p>
        </w:tc>//-->
      </w:tr>
      <w:tr>
        <w:trPr>
          <w:cantSplit/>
        </w:trPr>
        <w:tc>
          <w:p>
            <w:pPr>
              <w:pStyle w:val="NormalinTable"/>
            </w:pPr>
            <w:r>
              <w:rPr>
                <w:b/>
              </w:rPr>
              <w:t>2302 10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FOOT}//-->
            </w:r>
          </w:p>
        </w:tc>
        <!--<w:tc>
          <w:p>
            <w:pPr>
              <w:pStyle w:val="NormalinTable"/>
              <w:jc w:val="center"/>
            </w:pPr>
            <w:r>
              <w:t>{SUPPUNIT}</w:t>
            </w:r>
          </w:p>
        </w:tc>//-->
      </w:tr>
      <w:tr>
        <w:trPr>
          <w:cantSplit/>
        </w:trPr>
        <w:tc>
          <w:p>
            <w:pPr>
              <w:pStyle w:val="NormalinTable"/>
            </w:pPr>
            <w:r>
              <w:rPr>
                <w:b/>
              </w:rPr>
              <w:t>2302 10 10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 by weight</w:t>
              <!--{FOOT}//-->
            </w:r>
          </w:p>
        </w:tc>
        <!--<w:tc>
          <w:p>
            <w:pPr>
              <w:pStyle w:val="NormalinTable"/>
              <w:jc w:val="center"/>
            </w:pPr>
            <w:r>
              <w:t>{SUPPUNIT}</w:t>
            </w:r>
          </w:p>
        </w:tc>//-->
      </w:tr>
      <w:tr>
        <w:trPr>
          <w:cantSplit/>
        </w:trPr>
        <w:tc>
          <w:p>
            <w:pPr>
              <w:pStyle w:val="NormalinTable"/>
            </w:pPr>
            <w:r>
              <w:rPr>
                <w:b/>
              </w:rPr>
              <w:t>2302 10 90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FOOT}//-->
            </w:r>
          </w:p>
        </w:tc>
        <!--<w:tc>
          <w:p>
            <w:pPr>
              <w:pStyle w:val="NormalinTable"/>
              <w:jc w:val="center"/>
            </w:pPr>
            <w:r>
              <w:t>{SUPPUNIT}</w:t>
            </w:r>
          </w:p>
        </w:tc>//-->
      </w:tr>
      <w:tr>
        <w:trPr>
          <w:cantSplit/>
        </w:trPr>
        <w:tc>
          <w:p>
            <w:pPr>
              <w:pStyle w:val="NormalinTable"/>
            </w:pPr>
            <w:r>
              <w:rPr>
                <w:b/>
              </w:rPr>
              <w:t>2302 30 10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 by weight, and of which the proportion that passes through a sieve with an aperture of 0,2 mm does not exceed 10 % by weight or alternatively the proportion that passes through the sieve has an ash content, calculated on the dry product, equal to or more than 1,5 % by weight</w:t>
              <!--{FOOT}//-->
            </w:r>
          </w:p>
        </w:tc>
        <!--<w:tc>
          <w:p>
            <w:pPr>
              <w:pStyle w:val="NormalinTable"/>
              <w:jc w:val="center"/>
            </w:pPr>
            <w:r>
              <w:t>{SUPPUNIT}</w:t>
            </w:r>
          </w:p>
        </w:tc>//-->
      </w:tr>
      <w:tr>
        <w:trPr>
          <w:cantSplit/>
        </w:trPr>
        <w:tc>
          <w:p>
            <w:pPr>
              <w:pStyle w:val="NormalinTable"/>
            </w:pPr>
            <w:r>
              <w:rPr>
                <w:b/>
              </w:rPr>
              <w:t>2302 30 90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c>
          <w:p>
            <w:pPr>
              <w:pStyle w:val="NormalinTable"/>
              <w:jc w:val="center"/>
            </w:pPr>
            <w:r>
              <w:t>{SUPPUNIT}</w:t>
            </w:r>
          </w:p>
        </w:tc>//-->
      </w:tr>
      <w:tr>
        <w:trPr>
          <w:cantSplit/>
        </w:trPr>
        <w:tc>
          <w:p>
            <w:pPr>
              <w:pStyle w:val="NormalinTable"/>
            </w:pPr>
            <w:r>
              <w:rPr>
                <w:b/>
              </w:rPr>
              <w:t>2302 40 02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 by weight</w:t>
              <!--{FOOT}//-->
            </w:r>
          </w:p>
        </w:tc>
        <!--<w:tc>
          <w:p>
            <w:pPr>
              <w:pStyle w:val="NormalinTable"/>
              <w:jc w:val="center"/>
            </w:pPr>
            <w:r>
              <w:t>{SUPPUNIT}</w:t>
            </w:r>
          </w:p>
        </w:tc>//-->
      </w:tr>
      <w:tr>
        <w:trPr>
          <w:cantSplit/>
        </w:trPr>
        <w:tc>
          <w:p>
            <w:pPr>
              <w:pStyle w:val="NormalinTable"/>
            </w:pPr>
            <w:r>
              <w:rPr>
                <w:b/>
              </w:rPr>
              <w:t>2302 40 08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 by weight, and of which the proportion that passes through a sieve with an aperture of 0,2 mm does not exceed 10 % by weight or alternatively the proportion that passes through the sieve has an ash content, calculated on the dry product, equal to or more than 1,5 % by weight</w:t>
              <!--{FOOT}//-->
            </w:r>
          </w:p>
        </w:tc>
        <!--<w:tc>
          <w:p>
            <w:pPr>
              <w:pStyle w:val="NormalinTable"/>
              <w:jc w:val="center"/>
            </w:pPr>
            <w:r>
              <w:t>{SUPPUNIT}</w:t>
            </w:r>
          </w:p>
        </w:tc>//-->
      </w:tr>
      <w:tr>
        <w:trPr>
          <w:cantSplit/>
        </w:trPr>
        <w:tc>
          <w:p>
            <w:pPr>
              <w:pStyle w:val="NormalinTable"/>
            </w:pPr>
            <w:r>
              <w:rPr>
                <w:b/>
              </w:rPr>
              <w:t>2302 40 90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FOOT}//-->
            </w:r>
          </w:p>
        </w:tc>
        <!--<w:tc>
          <w:p>
            <w:pPr>
              <w:pStyle w:val="NormalinTable"/>
              <w:jc w:val="center"/>
            </w:pPr>
            <w:r>
              <w:t>{SUPPUNIT}</w:t>
            </w:r>
          </w:p>
        </w:tc>//-->
      </w:tr>
      <w:tr>
        <w:trPr>
          <w:cantSplit/>
        </w:trPr>
        <w:tc>
          <w:p>
            <w:pPr>
              <w:pStyle w:val="NormalinTable"/>
            </w:pPr>
            <w:r>
              <w:rPr>
                <w:b/>
              </w:rPr>
              <w:t>2303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FOOT}//-->
            </w:r>
          </w:p>
        </w:tc>
        <!--<w:tc>
          <w:p>
            <w:pPr>
              <w:pStyle w:val="NormalinTable"/>
              <w:jc w:val="center"/>
            </w:pPr>
            <w:r>
              <w:t>{SUPPUNIT}</w:t>
            </w:r>
          </w:p>
        </w:tc>//-->
      </w:tr>
      <w:tr>
        <w:trPr>
          <w:cantSplit/>
        </w:trPr>
        <w:tc>
          <w:p>
            <w:pPr>
              <w:pStyle w:val="NormalinTable"/>
            </w:pPr>
            <w:r>
              <w:rPr>
                <w:b/>
              </w:rPr>
              <w:t>2303 10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FOOT}//-->
            </w:r>
          </w:p>
        </w:tc>
        <!--<w:tc>
          <w:p>
            <w:pPr>
              <w:pStyle w:val="NormalinTable"/>
              <w:jc w:val="center"/>
            </w:pPr>
            <w:r>
              <w:t>{SUPPUNIT}</w:t>
            </w:r>
          </w:p>
        </w:tc>//-->
      </w:tr>
      <w:tr>
        <w:trPr>
          <w:cantSplit/>
        </w:trPr>
        <w:tc>
          <w:p>
            <w:pPr>
              <w:pStyle w:val="NormalinTable"/>
            </w:pPr>
            <w:r>
              <w:rPr>
                <w:b/>
              </w:rPr>
              <w:t>2303 10 11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 by weight</w:t>
              <!--{FOOT}//-->
            </w:r>
          </w:p>
        </w:tc>
        <!--<w:tc>
          <w:p>
            <w:pPr>
              <w:pStyle w:val="NormalinTable"/>
              <w:jc w:val="center"/>
            </w:pPr>
            <w:r>
              <w:t>{SUPPUNIT}</w:t>
            </w:r>
          </w:p>
        </w:tc>//-->
      </w:tr>
      <w:tr>
        <w:trPr>
          <w:cantSplit/>
        </w:trPr>
        <w:tc>
          <w:p>
            <w:pPr>
              <w:pStyle w:val="NormalinTable"/>
            </w:pPr>
            <w:r>
              <w:rPr>
                <w:b/>
              </w:rPr>
              <w:t>2303 10 11 10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FOOT}//-->
            </w:r>
          </w:p>
        </w:tc>
        <!--<w:tc>
          <w:p>
            <w:pPr>
              <w:pStyle w:val="NormalinTable"/>
              <w:jc w:val="center"/>
            </w:pPr>
            <w:r>
              <w:t>{SUPPUNIT}</w:t>
            </w:r>
          </w:p>
        </w:tc>//-->
      </w:tr>
      <w:tr>
        <w:trPr>
          <w:cantSplit/>
        </w:trPr>
        <w:tc>
          <w:p>
            <w:pPr>
              <w:pStyle w:val="NormalinTable"/>
            </w:pPr>
            <w:r>
              <w:rPr>
                <w:b/>
              </w:rPr>
              <w:t>2303 10 11 90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 by weight</w:t>
              <!--{FOOT}//-->
            </w:r>
          </w:p>
        </w:tc>
        <!--<w:tc>
          <w:p>
            <w:pPr>
              <w:pStyle w:val="NormalinTable"/>
              <w:jc w:val="center"/>
            </w:pPr>
            <w:r>
              <w:t>{SUPPUNIT}</w:t>
            </w:r>
          </w:p>
        </w:tc>//-->
      </w:tr>
      <w:tr>
        <w:trPr>
          <w:cantSplit/>
        </w:trPr>
        <w:tc>
          <w:p>
            <w:pPr>
              <w:pStyle w:val="NormalinTable"/>
            </w:pPr>
            <w:r>
              <w:rPr>
                <w:b/>
              </w:rPr>
              <w:t>2303 10 90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FOOT}//-->
            </w:r>
          </w:p>
        </w:tc>
        <!--<w:tc>
          <w:p>
            <w:pPr>
              <w:pStyle w:val="NormalinTable"/>
              <w:jc w:val="center"/>
            </w:pPr>
            <w:r>
              <w:t>{SUPPUNIT}</w:t>
            </w:r>
          </w:p>
        </w:tc>//-->
      </w:tr>
      <w:tr>
        <w:trPr>
          <w:cantSplit/>
        </w:trPr>
        <w:tc>
          <w:p>
            <w:pPr>
              <w:pStyle w:val="NormalinTable"/>
            </w:pPr>
            <w:r>
              <w:rPr>
                <w:b/>
              </w:rPr>
              <w:t>2303 20 10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FOOT}//-->
            </w:r>
          </w:p>
        </w:tc>
        <!--<w:tc>
          <w:p>
            <w:pPr>
              <w:pStyle w:val="NormalinTable"/>
              <w:jc w:val="center"/>
            </w:pPr>
            <w:r>
              <w:t>{SUPPUNIT}</w:t>
            </w:r>
          </w:p>
        </w:tc>//-->
      </w:tr>
      <w:tr>
        <w:trPr>
          <w:cantSplit/>
        </w:trPr>
        <w:tc>
          <w:p>
            <w:pPr>
              <w:pStyle w:val="NormalinTable"/>
            </w:pPr>
            <w:r>
              <w:rPr>
                <w:b/>
              </w:rPr>
              <w:t>2303 20 90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FOOT}//-->
            </w:r>
          </w:p>
        </w:tc>
        <!--<w:tc>
          <w:p>
            <w:pPr>
              <w:pStyle w:val="NormalinTable"/>
              <w:jc w:val="center"/>
            </w:pPr>
            <w:r>
              <w:t>{SUPPUNIT}</w:t>
            </w:r>
          </w:p>
        </w:tc>//-->
      </w:tr>
      <w:tr>
        <w:trPr>
          <w:cantSplit/>
        </w:trPr>
        <w:tc>
          <w:p>
            <w:pPr>
              <w:pStyle w:val="NormalinTable"/>
            </w:pPr>
            <w:r>
              <w:rPr>
                <w:b/>
              </w:rPr>
              <w:t>2304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FOOT}//-->
            </w:r>
          </w:p>
        </w:tc>
        <!--<w:tc>
          <w:p>
            <w:pPr>
              <w:pStyle w:val="NormalinTable"/>
              <w:jc w:val="center"/>
            </w:pPr>
            <w:r>
              <w:t>{SUPPUNIT}</w:t>
            </w:r>
          </w:p>
        </w:tc>//-->
      </w:tr>
      <w:tr>
        <w:trPr>
          <w:cantSplit/>
        </w:trPr>
        <w:tc>
          <w:p>
            <w:pPr>
              <w:pStyle w:val="NormalinTable"/>
            </w:pPr>
            <w:r>
              <w:rPr>
                <w:b/>
              </w:rPr>
              <w:t>2305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FOOT}//-->
            </w:r>
          </w:p>
        </w:tc>
        <!--<w:tc>
          <w:p>
            <w:pPr>
              <w:pStyle w:val="NormalinTable"/>
              <w:jc w:val="center"/>
            </w:pPr>
            <w:r>
              <w:t>{SUPPUNIT}</w:t>
            </w:r>
          </w:p>
        </w:tc>//-->
      </w:tr>
      <w:tr>
        <w:trPr>
          <w:cantSplit/>
        </w:trPr>
        <w:tc>
          <w:p>
            <w:pPr>
              <w:pStyle w:val="NormalinTable"/>
            </w:pPr>
            <w:r>
              <w:rPr>
                <w:b/>
              </w:rPr>
              <w:t>2306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FOOT}//-->
            </w:r>
          </w:p>
        </w:tc>
        <!--<w:tc>
          <w:p>
            <w:pPr>
              <w:pStyle w:val="NormalinTable"/>
              <w:jc w:val="center"/>
            </w:pPr>
            <w:r>
              <w:t>{SUPPUNIT}</w:t>
            </w:r>
          </w:p>
        </w:tc>//-->
      </w:tr>
      <w:tr>
        <w:trPr>
          <w:cantSplit/>
        </w:trPr>
        <w:tc>
          <w:p>
            <w:pPr>
              <w:pStyle w:val="NormalinTable"/>
            </w:pPr>
            <w:r>
              <w:rPr>
                <w:b/>
              </w:rPr>
              <w:t>2306 10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FOOT}//-->
            </w:r>
          </w:p>
        </w:tc>
        <!--<w:tc>
          <w:p>
            <w:pPr>
              <w:pStyle w:val="NormalinTable"/>
              <w:jc w:val="center"/>
            </w:pPr>
            <w:r>
              <w:t>{SUPPUNIT}</w:t>
            </w:r>
          </w:p>
        </w:tc>//-->
      </w:tr>
      <w:tr>
        <w:trPr>
          <w:cantSplit/>
        </w:trPr>
        <w:tc>
          <w:p>
            <w:pPr>
              <w:pStyle w:val="NormalinTable"/>
            </w:pPr>
            <w:r>
              <w:rPr>
                <w:b/>
              </w:rPr>
              <w:t>2306 20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FOOT}//-->
            </w:r>
          </w:p>
        </w:tc>
        <!--<w:tc>
          <w:p>
            <w:pPr>
              <w:pStyle w:val="NormalinTable"/>
              <w:jc w:val="center"/>
            </w:pPr>
            <w:r>
              <w:t>{SUPPUNIT}</w:t>
            </w:r>
          </w:p>
        </w:tc>//-->
      </w:tr>
      <w:tr>
        <w:trPr>
          <w:cantSplit/>
        </w:trPr>
        <w:tc>
          <w:p>
            <w:pPr>
              <w:pStyle w:val="NormalinTable"/>
            </w:pPr>
            <w:r>
              <w:rPr>
                <w:b/>
              </w:rPr>
              <w:t>2306 30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FOOT}//-->
            </w:r>
          </w:p>
        </w:tc>
        <!--<w:tc>
          <w:p>
            <w:pPr>
              <w:pStyle w:val="NormalinTable"/>
              <w:jc w:val="center"/>
            </w:pPr>
            <w:r>
              <w:t>{SUPPUNIT}</w:t>
            </w:r>
          </w:p>
        </w:tc>//-->
      </w:tr>
      <w:tr>
        <w:trPr>
          <w:cantSplit/>
        </w:trPr>
        <w:tc>
          <w:p>
            <w:pPr>
              <w:pStyle w:val="NormalinTable"/>
            </w:pPr>
            <w:r>
              <w:rPr>
                <w:b/>
              </w:rPr>
              <w:t>2306 41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FOOT}//-->
            </w:r>
          </w:p>
        </w:tc>
        <!--<w:tc>
          <w:p>
            <w:pPr>
              <w:pStyle w:val="NormalinTable"/>
              <w:jc w:val="center"/>
            </w:pPr>
            <w:r>
              <w:t>{SUPPUNIT}</w:t>
            </w:r>
          </w:p>
        </w:tc>//-->
      </w:tr>
      <w:tr>
        <w:trPr>
          <w:cantSplit/>
        </w:trPr>
        <w:tc>
          <w:p>
            <w:pPr>
              <w:pStyle w:val="NormalinTable"/>
            </w:pPr>
            <w:r>
              <w:rPr>
                <w:b/>
              </w:rPr>
              <w:t>2306 49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FOOT}//-->
            </w:r>
          </w:p>
        </w:tc>
        <!--<w:tc>
          <w:p>
            <w:pPr>
              <w:pStyle w:val="NormalinTable"/>
              <w:jc w:val="center"/>
            </w:pPr>
            <w:r>
              <w:t>{SUPPUNIT}</w:t>
            </w:r>
          </w:p>
        </w:tc>//-->
      </w:tr>
      <w:tr>
        <w:trPr>
          <w:cantSplit/>
        </w:trPr>
        <w:tc>
          <w:p>
            <w:pPr>
              <w:pStyle w:val="NormalinTable"/>
            </w:pPr>
            <w:r>
              <w:rPr>
                <w:b/>
              </w:rPr>
              <w:t>2306 60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FOOT}//-->
            </w:r>
          </w:p>
        </w:tc>
        <!--<w:tc>
          <w:p>
            <w:pPr>
              <w:pStyle w:val="NormalinTable"/>
              <w:jc w:val="center"/>
            </w:pPr>
            <w:r>
              <w:t>{SUPPUNIT}</w:t>
            </w:r>
          </w:p>
        </w:tc>//-->
      </w:tr>
      <w:tr>
        <w:trPr>
          <w:cantSplit/>
        </w:trPr>
        <w:tc>
          <w:p>
            <w:pPr>
              <w:pStyle w:val="NormalinTable"/>
            </w:pPr>
            <w:r>
              <w:rPr>
                <w:b/>
              </w:rPr>
              <w:t>2306 90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2306 90 05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FOOT}//-->
            </w:r>
          </w:p>
        </w:tc>
        <!--<w:tc>
          <w:p>
            <w:pPr>
              <w:pStyle w:val="NormalinTable"/>
              <w:jc w:val="center"/>
            </w:pPr>
            <w:r>
              <w:t>{SUPPUNIT}</w:t>
            </w:r>
          </w:p>
        </w:tc>//-->
      </w:tr>
      <w:tr>
        <w:trPr>
          <w:cantSplit/>
        </w:trPr>
        <w:tc>
          <w:p>
            <w:pPr>
              <w:pStyle w:val="NormalinTable"/>
            </w:pPr>
            <w:r>
              <w:rPr>
                <w:b/>
              </w:rPr>
              <w:t>2306 90 11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 or less by weight of olive oil</w:t>
              <!--{FOOT}//-->
            </w:r>
          </w:p>
        </w:tc>
        <!--<w:tc>
          <w:p>
            <w:pPr>
              <w:pStyle w:val="NormalinTable"/>
              <w:jc w:val="center"/>
            </w:pPr>
            <w:r>
              <w:t>{SUPPUNIT}</w:t>
            </w:r>
          </w:p>
        </w:tc>//-->
      </w:tr>
      <w:tr>
        <w:trPr>
          <w:cantSplit/>
        </w:trPr>
        <w:tc>
          <w:p>
            <w:pPr>
              <w:pStyle w:val="NormalinTable"/>
            </w:pPr>
            <w:r>
              <w:rPr>
                <w:b/>
              </w:rPr>
              <w:t>2306 90 19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 by weight of olive oil</w:t>
              <!--{FOOT}//-->
            </w:r>
          </w:p>
        </w:tc>
        <!--<w:tc>
          <w:p>
            <w:pPr>
              <w:pStyle w:val="NormalinTable"/>
              <w:jc w:val="center"/>
            </w:pPr>
            <w:r>
              <w:t>{SUPPUNIT}</w:t>
            </w:r>
          </w:p>
        </w:tc>//-->
      </w:tr>
      <w:tr>
        <w:trPr>
          <w:cantSplit/>
        </w:trPr>
        <w:tc>
          <w:p>
            <w:pPr>
              <w:pStyle w:val="NormalinTable"/>
            </w:pPr>
            <w:r>
              <w:rPr>
                <w:b/>
              </w:rPr>
              <w:t>2306 90 90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FOOT}//-->
            </w:r>
          </w:p>
        </w:tc>
        <!--<w:tc>
          <w:p>
            <w:pPr>
              <w:pStyle w:val="NormalinTable"/>
              <w:jc w:val="center"/>
            </w:pPr>
            <w:r>
              <w:t>{SUPPUNIT}</w:t>
            </w:r>
          </w:p>
        </w:tc>//-->
      </w:tr>
      <w:tr>
        <w:trPr>
          <w:cantSplit/>
        </w:trPr>
        <w:tc>
          <w:p>
            <w:pPr>
              <w:pStyle w:val="NormalinTable"/>
            </w:pPr>
            <w:r>
              <w:rPr>
                <w:b/>
              </w:rPr>
              <w:t>2307 00 11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 mas and a dry matter content not less than 25 % by weight</w:t>
              <!--{FOOT}//-->
            </w:r>
          </w:p>
        </w:tc>
        <!--<w:tc>
          <w:p>
            <w:pPr>
              <w:pStyle w:val="NormalinTable"/>
              <w:jc w:val="center"/>
            </w:pPr>
            <w:r>
              <w:t>{SUPPUNIT}</w:t>
            </w:r>
          </w:p>
        </w:tc>//-->
      </w:tr>
      <w:tr>
        <w:trPr>
          <w:cantSplit/>
        </w:trPr>
        <w:tc>
          <w:p>
            <w:pPr>
              <w:pStyle w:val="NormalinTable"/>
            </w:pPr>
            <w:r>
              <w:rPr>
                <w:b/>
              </w:rPr>
              <w:t>2307 00 19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FOOT}//-->
            </w:r>
          </w:p>
        </w:tc>
        <!--<w:tc>
          <w:p>
            <w:pPr>
              <w:pStyle w:val="NormalinTable"/>
              <w:jc w:val="center"/>
            </w:pPr>
            <w:r>
              <w:t>{SUPPUNIT}</w:t>
            </w:r>
          </w:p>
        </w:tc>//-->
      </w:tr>
      <w:tr>
        <w:trPr>
          <w:cantSplit/>
        </w:trPr>
        <w:tc>
          <w:p>
            <w:pPr>
              <w:pStyle w:val="NormalinTable"/>
            </w:pPr>
            <w:r>
              <w:rPr>
                <w:b/>
              </w:rPr>
              <w:t>2308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FOOT}//-->
            </w:r>
          </w:p>
        </w:tc>
        <!--<w:tc>
          <w:p>
            <w:pPr>
              <w:pStyle w:val="NormalinTable"/>
              <w:jc w:val="center"/>
            </w:pPr>
            <w:r>
              <w:t>{SUPPUNIT}</w:t>
            </w:r>
          </w:p>
        </w:tc>//-->
      </w:tr>
      <w:tr>
        <w:trPr>
          <w:cantSplit/>
        </w:trPr>
        <w:tc>
          <w:p>
            <w:pPr>
              <w:pStyle w:val="NormalinTable"/>
            </w:pPr>
            <w:r>
              <w:rPr>
                <w:b/>
              </w:rPr>
              <w:t>2308 00 11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 mas and a dry matter content not less than 40 % by weight</w:t>
              <!--{FOOT}//-->
            </w:r>
          </w:p>
        </w:tc>
        <!--<w:tc>
          <w:p>
            <w:pPr>
              <w:pStyle w:val="NormalinTable"/>
              <w:jc w:val="center"/>
            </w:pPr>
            <w:r>
              <w:t>{SUPPUNIT}</w:t>
            </w:r>
          </w:p>
        </w:tc>//-->
      </w:tr>
      <w:tr>
        <w:trPr>
          <w:cantSplit/>
        </w:trPr>
        <w:tc>
          <w:p>
            <w:pPr>
              <w:pStyle w:val="NormalinTable"/>
            </w:pPr>
            <w:r>
              <w:rPr>
                <w:b/>
              </w:rPr>
              <w:t>2308 00 19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2308 00 40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FOOT}//-->
            </w:r>
          </w:p>
        </w:tc>
        <!--<w:tc>
          <w:p>
            <w:pPr>
              <w:pStyle w:val="NormalinTable"/>
              <w:jc w:val="center"/>
            </w:pPr>
            <w:r>
              <w:t>{SUPPUNIT}</w:t>
            </w:r>
          </w:p>
        </w:tc>//-->
      </w:tr>
      <w:tr>
        <w:trPr>
          <w:cantSplit/>
        </w:trPr>
        <w:tc>
          <w:p>
            <w:pPr>
              <w:pStyle w:val="NormalinTable"/>
            </w:pPr>
            <w:r>
              <w:rPr>
                <w:b/>
              </w:rPr>
              <w:t>2308 00 90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FOOT}//-->
            </w:r>
          </w:p>
        </w:tc>
        <!--<w:tc>
          <w:p>
            <w:pPr>
              <w:pStyle w:val="NormalinTable"/>
              <w:jc w:val="center"/>
            </w:pPr>
            <w:r>
              <w:t>{SUPPUNIT}</w:t>
            </w:r>
          </w:p>
        </w:tc>//-->
      </w:tr>
      <w:tr>
        <w:trPr>
          <w:cantSplit/>
        </w:trPr>
        <w:tc>
          <w:p>
            <w:pPr>
              <w:pStyle w:val="NormalinTable"/>
            </w:pPr>
            <w:r>
              <w:rPr>
                <w:b/>
              </w:rPr>
              <w:t>2309 10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 or less by weight of starch</w:t>
              <!--{FOOT}//-->
            </w:r>
          </w:p>
        </w:tc>
        <!--<w:tc>
          <w:p>
            <w:pPr>
              <w:pStyle w:val="NormalinTable"/>
              <w:jc w:val="center"/>
            </w:pPr>
            <w:r>
              <w:t>{SUPPUNIT}</w:t>
            </w:r>
          </w:p>
        </w:tc>//-->
      </w:tr>
      <w:tr>
        <w:trPr>
          <w:cantSplit/>
        </w:trPr>
        <w:tc>
          <w:p>
            <w:pPr>
              <w:pStyle w:val="NormalinTable"/>
            </w:pPr>
            <w:r>
              <w:rPr>
                <w:b/>
              </w:rPr>
              <w:t>2309 10 11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 by weight of such products</w:t>
              <!--{FOOT}//-->
            </w:r>
          </w:p>
        </w:tc>
        <!--<w:tc>
          <w:p>
            <w:pPr>
              <w:pStyle w:val="NormalinTable"/>
              <w:jc w:val="center"/>
            </w:pPr>
            <w:r>
              <w:t>{SUPPUNIT}</w:t>
            </w:r>
          </w:p>
        </w:tc>//-->
      </w:tr>
      <w:tr>
        <w:trPr>
          <w:cantSplit/>
        </w:trPr>
        <w:tc>
          <w:p>
            <w:pPr>
              <w:pStyle w:val="NormalinTable"/>
            </w:pPr>
            <w:r>
              <w:rPr>
                <w:b/>
              </w:rPr>
              <w:t>2309 10 13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 but less than 50 % by weight of milk products</w:t>
              <!--{FOOT}//-->
            </w:r>
          </w:p>
        </w:tc>
        <!--<w:tc>
          <w:p>
            <w:pPr>
              <w:pStyle w:val="NormalinTable"/>
              <w:jc w:val="center"/>
            </w:pPr>
            <w:r>
              <w:t>{SUPPUNIT}</w:t>
            </w:r>
          </w:p>
        </w:tc>//-->
      </w:tr>
      <w:tr>
        <w:trPr>
          <w:cantSplit/>
        </w:trPr>
        <w:tc>
          <w:p>
            <w:pPr>
              <w:pStyle w:val="NormalinTable"/>
            </w:pPr>
            <w:r>
              <w:rPr>
                <w:b/>
              </w:rPr>
              <w:t>2309 10 15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 but less than 75 % by weight of milk products</w:t>
              <!--{FOOT}//-->
            </w:r>
          </w:p>
        </w:tc>
        <!--<w:tc>
          <w:p>
            <w:pPr>
              <w:pStyle w:val="NormalinTable"/>
              <w:jc w:val="center"/>
            </w:pPr>
            <w:r>
              <w:t>{SUPPUNIT}</w:t>
            </w:r>
          </w:p>
        </w:tc>//-->
      </w:tr>
      <w:tr>
        <w:trPr>
          <w:cantSplit/>
        </w:trPr>
        <w:tc>
          <w:p>
            <w:pPr>
              <w:pStyle w:val="NormalinTable"/>
            </w:pPr>
            <w:r>
              <w:rPr>
                <w:b/>
              </w:rPr>
              <w:t>2309 10 19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 by weight of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 but not more than 30 % by weight of starch</w:t>
              <!--{FOOT}//-->
            </w:r>
          </w:p>
        </w:tc>
        <!--<w:tc>
          <w:p>
            <w:pPr>
              <w:pStyle w:val="NormalinTable"/>
              <w:jc w:val="center"/>
            </w:pPr>
            <w:r>
              <w:t>{SUPPUNIT}</w:t>
            </w:r>
          </w:p>
        </w:tc>//-->
      </w:tr>
      <w:tr>
        <w:trPr>
          <w:cantSplit/>
        </w:trPr>
        <w:tc>
          <w:p>
            <w:pPr>
              <w:pStyle w:val="NormalinTable"/>
            </w:pPr>
            <w:r>
              <w:rPr>
                <w:b/>
              </w:rPr>
              <w:t>2309 10 31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 by weight of such products</w:t>
              <!--{FOOT}//-->
            </w:r>
          </w:p>
        </w:tc>
        <!--<w:tc>
          <w:p>
            <w:pPr>
              <w:pStyle w:val="NormalinTable"/>
              <w:jc w:val="center"/>
            </w:pPr>
            <w:r>
              <w:t>{SUPPUNIT}</w:t>
            </w:r>
          </w:p>
        </w:tc>//-->
      </w:tr>
      <w:tr>
        <w:trPr>
          <w:cantSplit/>
        </w:trPr>
        <w:tc>
          <w:p>
            <w:pPr>
              <w:pStyle w:val="NormalinTable"/>
            </w:pPr>
            <w:r>
              <w:rPr>
                <w:b/>
              </w:rPr>
              <w:t>2309 10 33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 but less than 50 % by weight of milk products</w:t>
              <!--{FOOT}//-->
            </w:r>
          </w:p>
        </w:tc>
        <!--<w:tc>
          <w:p>
            <w:pPr>
              <w:pStyle w:val="NormalinTable"/>
              <w:jc w:val="center"/>
            </w:pPr>
            <w:r>
              <w:t>{SUPPUNIT}</w:t>
            </w:r>
          </w:p>
        </w:tc>//-->
      </w:tr>
      <w:tr>
        <w:trPr>
          <w:cantSplit/>
        </w:trPr>
        <w:tc>
          <w:p>
            <w:pPr>
              <w:pStyle w:val="NormalinTable"/>
            </w:pPr>
            <w:r>
              <w:rPr>
                <w:b/>
              </w:rPr>
              <w:t>2309 10 39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 by weight of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 by weight of starch</w:t>
              <!--{FOOT}//-->
            </w:r>
          </w:p>
        </w:tc>
        <!--<w:tc>
          <w:p>
            <w:pPr>
              <w:pStyle w:val="NormalinTable"/>
              <w:jc w:val="center"/>
            </w:pPr>
            <w:r>
              <w:t>{SUPPUNIT}</w:t>
            </w:r>
          </w:p>
        </w:tc>//-->
      </w:tr>
      <w:tr>
        <w:trPr>
          <w:cantSplit/>
        </w:trPr>
        <w:tc>
          <w:p>
            <w:pPr>
              <w:pStyle w:val="NormalinTable"/>
            </w:pPr>
            <w:r>
              <w:rPr>
                <w:b/>
              </w:rPr>
              <w:t>2309 10 51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 by weight of such products</w:t>
              <!--{FOOT}//-->
            </w:r>
          </w:p>
        </w:tc>
        <!--<w:tc>
          <w:p>
            <w:pPr>
              <w:pStyle w:val="NormalinTable"/>
              <w:jc w:val="center"/>
            </w:pPr>
            <w:r>
              <w:t>{SUPPUNIT}</w:t>
            </w:r>
          </w:p>
        </w:tc>//-->
      </w:tr>
      <w:tr>
        <w:trPr>
          <w:cantSplit/>
        </w:trPr>
        <w:tc>
          <w:p>
            <w:pPr>
              <w:pStyle w:val="NormalinTable"/>
            </w:pPr>
            <w:r>
              <w:rPr>
                <w:b/>
              </w:rPr>
              <w:t>2309 10 53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 but less than 50 % by weight of milk products</w:t>
              <!--{FOOT}//-->
            </w:r>
          </w:p>
        </w:tc>
        <!--<w:tc>
          <w:p>
            <w:pPr>
              <w:pStyle w:val="NormalinTable"/>
              <w:jc w:val="center"/>
            </w:pPr>
            <w:r>
              <w:t>{SUPPUNIT}</w:t>
            </w:r>
          </w:p>
        </w:tc>//-->
      </w:tr>
      <w:tr>
        <w:trPr>
          <w:cantSplit/>
        </w:trPr>
        <w:tc>
          <w:p>
            <w:pPr>
              <w:pStyle w:val="NormalinTable"/>
            </w:pPr>
            <w:r>
              <w:rPr>
                <w:b/>
              </w:rPr>
              <w:t>2309 10 59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 by weight of milk products</w:t>
              <!--{FOOT}//-->
            </w:r>
          </w:p>
        </w:tc>
        <!--<w:tc>
          <w:p>
            <w:pPr>
              <w:pStyle w:val="NormalinTable"/>
              <w:jc w:val="center"/>
            </w:pPr>
            <w:r>
              <w:t>{SUPPUNIT}</w:t>
            </w:r>
          </w:p>
        </w:tc>//-->
      </w:tr>
      <w:tr>
        <w:trPr>
          <w:cantSplit/>
        </w:trPr>
        <w:tc>
          <w:p>
            <w:pPr>
              <w:pStyle w:val="NormalinTable"/>
            </w:pPr>
            <w:r>
              <w:rPr>
                <w:b/>
              </w:rPr>
              <w:t>2309 10 70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FOOT}//-->
            </w:r>
          </w:p>
        </w:tc>
        <!--<w:tc>
          <w:p>
            <w:pPr>
              <w:pStyle w:val="NormalinTable"/>
              <w:jc w:val="center"/>
            </w:pPr>
            <w:r>
              <w:t>{SUPPUNIT}</w:t>
            </w:r>
          </w:p>
        </w:tc>//-->
      </w:tr>
      <w:tr>
        <w:trPr>
          <w:cantSplit/>
        </w:trPr>
        <w:tc>
          <w:p>
            <w:pPr>
              <w:pStyle w:val="NormalinTable"/>
            </w:pPr>
            <w:r>
              <w:rPr>
                <w:b/>
              </w:rPr>
              <w:t>2309 10 90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solubles</w:t>
              <!--{FOOT}//-->
            </w:r>
          </w:p>
        </w:tc>
        <!--<w:tc>
          <w:p>
            <w:pPr>
              <w:pStyle w:val="NormalinTable"/>
              <w:jc w:val="center"/>
            </w:pPr>
            <w:r>
              <w:t>{SUPPUNIT}</w:t>
            </w:r>
          </w:p>
        </w:tc>//-->
      </w:tr>
      <w:tr>
        <w:trPr>
          <w:cantSplit/>
        </w:trPr>
        <w:tc>
          <w:p>
            <w:pPr>
              <w:pStyle w:val="NormalinTable"/>
            </w:pPr>
            <w:r>
              <w:rPr>
                <w:b/>
              </w:rPr>
              <w:t>2309 90 10 21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2309 90 10 31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Marine mammal solubles</w:t>
              <!--{FOOT}//-->
            </w:r>
          </w:p>
        </w:tc>
        <!--<w:tc>
          <w:p>
            <w:pPr>
              <w:pStyle w:val="NormalinTable"/>
              <w:jc w:val="center"/>
            </w:pPr>
            <w:r>
              <w:t>{SUPPUNIT}</w:t>
            </w:r>
          </w:p>
        </w:tc>//-->
      </w:tr>
      <w:tr>
        <w:trPr>
          <w:cantSplit/>
        </w:trPr>
        <w:tc>
          <w:p>
            <w:pPr>
              <w:pStyle w:val="NormalinTable"/>
            </w:pPr>
            <w:r>
              <w:rPr>
                <w:b/>
              </w:rPr>
              <w:t>2309 90 10 81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2309 90 10 91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 or less by weight of starch</w:t>
              <!--{FOOT}//-->
            </w:r>
          </w:p>
        </w:tc>
        <!--<w:tc>
          <w:p>
            <w:pPr>
              <w:pStyle w:val="NormalinTable"/>
              <w:jc w:val="center"/>
            </w:pPr>
            <w:r>
              <w:t>{SUPPUNIT}</w:t>
            </w:r>
          </w:p>
        </w:tc>//-->
      </w:tr>
      <w:tr>
        <w:trPr>
          <w:cantSplit/>
        </w:trPr>
        <w:tc>
          <w:p>
            <w:pPr>
              <w:pStyle w:val="NormalinTable"/>
            </w:pPr>
            <w:r>
              <w:rPr>
                <w:b/>
              </w:rPr>
              <w:t>2309 90 31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 by weight of such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 or more of protein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 or more of protein</w:t>
              <!--{FOOT}//-->
            </w:r>
          </w:p>
        </w:tc>
        <!--<w:tc>
          <w:p>
            <w:pPr>
              <w:pStyle w:val="NormalinTable"/>
              <w:jc w:val="center"/>
            </w:pPr>
            <w:r>
              <w:t>{SUPPUNIT}</w:t>
            </w:r>
          </w:p>
        </w:tc>//-->
      </w:tr>
      <w:tr>
        <w:trPr>
          <w:cantSplit/>
        </w:trPr>
        <w:tc>
          <w:p>
            <w:pPr>
              <w:pStyle w:val="NormalinTable"/>
            </w:pPr>
            <w:r>
              <w:rPr>
                <w:b/>
              </w:rPr>
              <w:t>2309 90 31 11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 but less than 50 % by weight of milk products</w:t>
              <!--{FOOT}//-->
            </w:r>
          </w:p>
        </w:tc>
        <!--<w:tc>
          <w:p>
            <w:pPr>
              <w:pStyle w:val="NormalinTable"/>
              <w:jc w:val="center"/>
            </w:pPr>
            <w:r>
              <w:t>{SUPPUNIT}</w:t>
            </w:r>
          </w:p>
        </w:tc>//-->
      </w:tr>
      <w:tr>
        <w:trPr>
          <w:cantSplit/>
        </w:trPr>
        <w:tc>
          <w:p>
            <w:pPr>
              <w:pStyle w:val="NormalinTable"/>
            </w:pPr>
            <w:r>
              <w:rPr>
                <w:b/>
              </w:rPr>
              <w:t>2309 90 33 10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 but less than 75 % by weight of milk products</w:t>
              <!--{FOOT}//-->
            </w:r>
          </w:p>
        </w:tc>
        <!--<w:tc>
          <w:p>
            <w:pPr>
              <w:pStyle w:val="NormalinTable"/>
              <w:jc w:val="center"/>
            </w:pPr>
            <w:r>
              <w:t>{SUPPUNIT}</w:t>
            </w:r>
          </w:p>
        </w:tc>//-->
      </w:tr>
      <w:tr>
        <w:trPr>
          <w:cantSplit/>
        </w:trPr>
        <w:tc>
          <w:p>
            <w:pPr>
              <w:pStyle w:val="NormalinTable"/>
            </w:pPr>
            <w:r>
              <w:rPr>
                <w:b/>
              </w:rPr>
              <w:t>2309 90 35 10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 by weight of milk products</w:t>
              <!--{FOOT}//-->
            </w:r>
          </w:p>
        </w:tc>
        <!--<w:tc>
          <w:p>
            <w:pPr>
              <w:pStyle w:val="NormalinTable"/>
              <w:jc w:val="center"/>
            </w:pPr>
            <w:r>
              <w:t>{SUPPUNIT}</w:t>
            </w:r>
          </w:p>
        </w:tc>//-->
      </w:tr>
      <w:tr>
        <w:trPr>
          <w:cantSplit/>
        </w:trPr>
        <w:tc>
          <w:p>
            <w:pPr>
              <w:pStyle w:val="NormalinTable"/>
            </w:pPr>
            <w:r>
              <w:rPr>
                <w:b/>
              </w:rPr>
              <w:t>2309 90 39 10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 but not more than 30 % by weight of starch</w:t>
              <!--{FOOT}//-->
            </w:r>
          </w:p>
        </w:tc>
        <!--<w:tc>
          <w:p>
            <w:pPr>
              <w:pStyle w:val="NormalinTable"/>
              <w:jc w:val="center"/>
            </w:pPr>
            <w:r>
              <w:t>{SUPPUNIT}</w:t>
            </w:r>
          </w:p>
        </w:tc>//-->
      </w:tr>
      <w:tr>
        <w:trPr>
          <w:cantSplit/>
        </w:trPr>
        <w:tc>
          <w:p>
            <w:pPr>
              <w:pStyle w:val="NormalinTable"/>
            </w:pPr>
            <w:r>
              <w:rPr>
                <w:b/>
              </w:rPr>
              <w:t>2309 90 41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 by weight of such products</w:t>
              <!--{FOOT}//-->
            </w:r>
          </w:p>
        </w:tc>
        <!--<w:tc>
          <w:p>
            <w:pPr>
              <w:pStyle w:val="NormalinTable"/>
              <w:jc w:val="center"/>
            </w:pPr>
            <w:r>
              <w:t>{SUPPUNIT}</w:t>
            </w:r>
          </w:p>
        </w:tc>//-->
      </w:tr>
      <w:tr>
        <w:trPr>
          <w:cantSplit/>
        </w:trPr>
        <w:tc>
          <w:p>
            <w:pPr>
              <w:pStyle w:val="NormalinTable"/>
            </w:pPr>
            <w:r>
              <w:rPr>
                <w:b/>
              </w:rPr>
              <w:t>2309 90 41 20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 or more of protein and not more than 28 % of stach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 or more of protein and not more than 23 % of stach</w:t>
              <!--{FOOT}//-->
            </w:r>
          </w:p>
        </w:tc>
        <!--<w:tc>
          <w:p>
            <w:pPr>
              <w:pStyle w:val="NormalinTable"/>
              <w:jc w:val="center"/>
            </w:pPr>
            <w:r>
              <w:t>{SUPPUNIT}</w:t>
            </w:r>
          </w:p>
        </w:tc>//-->
      </w:tr>
      <w:tr>
        <w:trPr>
          <w:cantSplit/>
        </w:trPr>
        <w:tc>
          <w:p>
            <w:pPr>
              <w:pStyle w:val="NormalinTable"/>
            </w:pPr>
            <w:r>
              <w:rPr>
                <w:b/>
              </w:rPr>
              <w:t>2309 90 41 41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 but less than 50 % by weight of milk products</w:t>
              <!--{FOOT}//-->
            </w:r>
          </w:p>
        </w:tc>
        <!--<w:tc>
          <w:p>
            <w:pPr>
              <w:pStyle w:val="NormalinTable"/>
              <w:jc w:val="center"/>
            </w:pPr>
            <w:r>
              <w:t>{SUPPUNIT}</w:t>
            </w:r>
          </w:p>
        </w:tc>//-->
      </w:tr>
      <w:tr>
        <w:trPr>
          <w:cantSplit/>
        </w:trPr>
        <w:tc>
          <w:p>
            <w:pPr>
              <w:pStyle w:val="NormalinTable"/>
            </w:pPr>
            <w:r>
              <w:rPr>
                <w:b/>
              </w:rPr>
              <w:t>2309 90 43 10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 by weight of milk products</w:t>
              <!--{FOOT}//-->
            </w:r>
          </w:p>
        </w:tc>
        <!--<w:tc>
          <w:p>
            <w:pPr>
              <w:pStyle w:val="NormalinTable"/>
              <w:jc w:val="center"/>
            </w:pPr>
            <w:r>
              <w:t>{SUPPUNIT}</w:t>
            </w:r>
          </w:p>
        </w:tc>//-->
      </w:tr>
      <w:tr>
        <w:trPr>
          <w:cantSplit/>
        </w:trPr>
        <w:tc>
          <w:p>
            <w:pPr>
              <w:pStyle w:val="NormalinTable"/>
            </w:pPr>
            <w:r>
              <w:rPr>
                <w:b/>
              </w:rPr>
              <w:t>2309 90 49 10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 by weight of starch</w:t>
              <!--{FOOT}//-->
            </w:r>
          </w:p>
        </w:tc>
        <!--<w:tc>
          <w:p>
            <w:pPr>
              <w:pStyle w:val="NormalinTable"/>
              <w:jc w:val="center"/>
            </w:pPr>
            <w:r>
              <w:t>{SUPPUNIT}</w:t>
            </w:r>
          </w:p>
        </w:tc>//-->
      </w:tr>
      <w:tr>
        <w:trPr>
          <w:cantSplit/>
        </w:trPr>
        <w:tc>
          <w:p>
            <w:pPr>
              <w:pStyle w:val="NormalinTable"/>
            </w:pPr>
            <w:r>
              <w:rPr>
                <w:b/>
              </w:rPr>
              <w:t>2309 90 51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 by weight of such products</w:t>
              <!--{FOOT}//-->
            </w:r>
          </w:p>
        </w:tc>
        <!--<w:tc>
          <w:p>
            <w:pPr>
              <w:pStyle w:val="NormalinTable"/>
              <w:jc w:val="center"/>
            </w:pPr>
            <w:r>
              <w:t>{SUPPUNIT}</w:t>
            </w:r>
          </w:p>
        </w:tc>//-->
      </w:tr>
      <w:tr>
        <w:trPr>
          <w:cantSplit/>
        </w:trPr>
        <w:tc>
          <w:p>
            <w:pPr>
              <w:pStyle w:val="NormalinTable"/>
            </w:pPr>
            <w:r>
              <w:rPr>
                <w:b/>
              </w:rPr>
              <w:t>2309 90 51 10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 but less than 50 % by weight of milk products</w:t>
              <!--{FOOT}//-->
            </w:r>
          </w:p>
        </w:tc>
        <!--<w:tc>
          <w:p>
            <w:pPr>
              <w:pStyle w:val="NormalinTable"/>
              <w:jc w:val="center"/>
            </w:pPr>
            <w:r>
              <w:t>{SUPPUNIT}</w:t>
            </w:r>
          </w:p>
        </w:tc>//-->
      </w:tr>
      <w:tr>
        <w:trPr>
          <w:cantSplit/>
        </w:trPr>
        <w:tc>
          <w:p>
            <w:pPr>
              <w:pStyle w:val="NormalinTable"/>
            </w:pPr>
            <w:r>
              <w:rPr>
                <w:b/>
              </w:rPr>
              <w:t>2309 90 53 10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 by weight of milk products</w:t>
              <!--{FOOT}//-->
            </w:r>
          </w:p>
        </w:tc>
        <!--<w:tc>
          <w:p>
            <w:pPr>
              <w:pStyle w:val="NormalinTable"/>
              <w:jc w:val="center"/>
            </w:pPr>
            <w:r>
              <w:t>{SUPPUNIT}</w:t>
            </w:r>
          </w:p>
        </w:tc>//-->
      </w:tr>
      <w:tr>
        <w:trPr>
          <w:cantSplit/>
        </w:trPr>
        <w:tc>
          <w:p>
            <w:pPr>
              <w:pStyle w:val="NormalinTable"/>
            </w:pPr>
            <w:r>
              <w:rPr>
                <w:b/>
              </w:rPr>
              <w:t>2309 90 59 10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FOOT}//-->
            </w:r>
          </w:p>
        </w:tc>
        <!--<w:tc>
          <w:p>
            <w:pPr>
              <w:pStyle w:val="NormalinTable"/>
              <w:jc w:val="center"/>
            </w:pPr>
            <w:r>
              <w:t>{SUPPUNIT}</w:t>
            </w:r>
          </w:p>
        </w:tc>//-->
      </w:tr>
      <w:tr>
        <w:trPr>
          <w:cantSplit/>
        </w:trPr>
        <w:tc>
          <w:p>
            <w:pPr>
              <w:pStyle w:val="NormalinTable"/>
            </w:pPr>
            <w:r>
              <w:rPr>
                <w:b/>
              </w:rPr>
              <w:t>2309 90 70 10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FOOT}//-->
            </w:r>
          </w:p>
        </w:tc>
        <!--<w:tc>
          <w:p>
            <w:pPr>
              <w:pStyle w:val="NormalinTable"/>
              <w:jc w:val="center"/>
            </w:pPr>
            <w:r>
              <w:t>{SUPPUNIT}</w:t>
            </w:r>
          </w:p>
        </w:tc>//-->
      </w:tr>
      <w:tr>
        <w:trPr>
          <w:cantSplit/>
        </w:trPr>
        <w:tc>
          <w:p>
            <w:pPr>
              <w:pStyle w:val="NormalinTable"/>
            </w:pPr>
            <w:r>
              <w:rPr>
                <w:b/>
              </w:rPr>
              <w:t>2309 90 91 10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Mineral and vitamin complex</w:t>
              <!--{FOOT}//-->
            </w:r>
          </w:p>
        </w:tc>
        <!--<w:tc>
          <w:p>
            <w:pPr>
              <w:pStyle w:val="NormalinTable"/>
              <w:jc w:val="center"/>
            </w:pPr>
            <w:r>
              <w:t>{SUPPUNIT}</w:t>
            </w:r>
          </w:p>
        </w:tc>//-->
      </w:tr>
      <w:tr>
        <w:trPr>
          <w:cantSplit/>
        </w:trPr>
        <w:tc>
          <w:p>
            <w:pPr>
              <w:pStyle w:val="NormalinTable"/>
            </w:pPr>
            <w:r>
              <w:rPr>
                <w:b/>
              </w:rPr>
              <w:t>2309 90 96 31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2309 90 96 39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