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53</w:t>
      </w:r>
      <w:r>
        <w:br/>
        <w:t>Other Vegetable Textile Fibres; Paper Yarn and Woven Fabrics of Paper Yarn</w:t>
      </w:r>
    </w:p>
    <w:p>
      <w:pPr>
        <w:pStyle w:val="Heading3"/>
      </w:pPr>
      <w:r>
        <w:t>Chapter Notes</w:t>
      </w:r>
    </w:p>
    <w:p>
      <w:pPr>
        <w:pStyle w:val="Heading3"/>
      </w:pPr>
      <w:r>
        <w:t> Additional notes </w:t>
      </w:r>
    </w:p>
    <w:p>
      <w:r>
        <w:t/>
      </w:r>
    </w:p>
    <w:p>
      <w:r>
        <w:t>1. (A) For the purposes of subheadings 5306 10 90, 5306 20 90 and 5308 20 90, the expression 'put up for retail sale' in relation to yarn (single, multiple or cabled) means, subject to the exceptions in paragraph (B) below, yarn put up:</w:t>
      </w:r>
    </w:p>
    <w:p>
      <w:r>
        <w:t>(a) in balls or on cards, reels, tubes or similar supports, of a weight (including support) not exceeding 200 grams;</w:t>
      </w:r>
    </w:p>
    <w:p>
      <w:r>
        <w:t>(b) in hanks or skeins of a weight not exceeding 125 grams;</w:t>
      </w:r>
    </w:p>
    <w:p>
      <w:r>
        <w:t>(c) in hanks or skeins comprising several smaller hanks or skeins separated by dividing threads which render them independent one of the other, each of uniform weight not exceeding 125 grams.</w:t>
      </w:r>
    </w:p>
    <w:p>
      <w:r>
        <w:t>(B) Exceptions</w:t>
      </w:r>
    </w:p>
    <w:p>
      <w:pPr>
        <w:pStyle w:val="ListBullet"/>
      </w:pPr>
      <w:r>
        <w:t xml:space="preserve">multiple or cabled yarn, unbleached, in hanks or skeins;</w:t>
      </w:r>
    </w:p>
    <w:p>
      <w:pPr>
        <w:pStyle w:val="ListBullet"/>
      </w:pPr>
      <w:r>
        <w:t xml:space="preserve">multiple or cabled yarn, put up:</w:t>
      </w:r>
    </w:p>
    <w:p>
      <w:pPr>
        <w:pStyle w:val="ListBullet"/>
      </w:pPr>
      <w:r>
        <w:t xml:space="preserve">in cross-reeled hanks or skeins; or</w:t>
      </w:r>
    </w:p>
    <w:p>
      <w:pPr>
        <w:pStyle w:val="ListBullet"/>
      </w:pPr>
      <w:r>
        <w:t xml:space="preserve">(ii) put up on supports or in some other manner indicating its use in the textile industry (for example, on cops, twisting mill tubes, pirns,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c>
          <w:p>
            <w:pPr>
              <w:pStyle w:val="NormalinTable"/>
              <w:jc w:val="center"/>
            </w:pPr>
            <w:r>
              <w:t>{SUPPUNIT}</w:t>
            </w:r>
          </w:p>
        </w:tc>//-->
      </w:tr>
      <w:tr>
        <w:trPr>
          <w:cantSplit/>
        </w:trPr>
        <w:tc>
          <w:p>
            <w:pPr>
              <w:pStyle w:val="NormalinTable"/>
            </w:pPr>
            <w:r>
              <w:rPr>
                <w:b/>
              </w:rPr>
              <w:t>5301 10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c>
          <w:p>
            <w:pPr>
              <w:pStyle w:val="NormalinTable"/>
              <w:jc w:val="center"/>
            </w:pPr>
            <w:r>
              <w:t>{SUPPUNIT}</w:t>
            </w:r>
          </w:p>
        </w:tc>//-->
      </w:tr>
      <w:tr>
        <w:trPr>
          <w:cantSplit/>
        </w:trPr>
        <w:tc>
          <w:p>
            <w:pPr>
              <w:pStyle w:val="NormalinTable"/>
            </w:pPr>
            <w:r>
              <w:rPr>
                <w:b/>
              </w:rPr>
              <w:t>5301 21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c>
          <w:p>
            <w:pPr>
              <w:pStyle w:val="NormalinTable"/>
              <w:jc w:val="center"/>
            </w:pPr>
            <w:r>
              <w:t>{SUPPUNIT}</w:t>
            </w:r>
          </w:p>
        </w:tc>//-->
      </w:tr>
      <w:tr>
        <w:trPr>
          <w:cantSplit/>
        </w:trPr>
        <w:tc>
          <w:p>
            <w:pPr>
              <w:pStyle w:val="NormalinTable"/>
            </w:pPr>
            <w:r>
              <w:rPr>
                <w:b/>
              </w:rPr>
              <w:t>5301 29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c>
          <w:p>
            <w:pPr>
              <w:pStyle w:val="NormalinTable"/>
              <w:jc w:val="center"/>
            </w:pPr>
            <w:r>
              <w:t>{SUPPUNIT}</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c>
          <w:p>
            <w:pPr>
              <w:pStyle w:val="NormalinTable"/>
              <w:jc w:val="center"/>
            </w:pPr>
            <w:r>
              <w:t>{SUPPUNIT}</w:t>
            </w:r>
          </w:p>
        </w:tc>//-->
      </w:tr>
      <w:tr>
        <w:trPr>
          <w:cantSplit/>
        </w:trPr>
        <w:tc>
          <w:p>
            <w:pPr>
              <w:pStyle w:val="NormalinTable"/>
            </w:pPr>
            <w:r>
              <w:rPr>
                <w:b/>
              </w:rPr>
              <w:t>5302 10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c>
          <w:p>
            <w:pPr>
              <w:pStyle w:val="NormalinTable"/>
              <w:jc w:val="center"/>
            </w:pPr>
            <w:r>
              <w:t>{SUPPUNIT}</w:t>
            </w:r>
          </w:p>
        </w:tc>//-->
      </w:tr>
      <w:tr>
        <w:trPr>
          <w:cantSplit/>
        </w:trPr>
        <w:tc>
          <w:p>
            <w:pPr>
              <w:pStyle w:val="NormalinTable"/>
            </w:pPr>
            <w:r>
              <w:rPr>
                <w:b/>
              </w:rPr>
              <w:t>5302 90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c>
          <w:p>
            <w:pPr>
              <w:pStyle w:val="NormalinTable"/>
              <w:jc w:val="center"/>
            </w:pPr>
            <w:r>
              <w:t>{SUPPUNIT}</w:t>
            </w:r>
          </w:p>
        </w:tc>//-->
      </w:tr>
      <w:tr>
        <w:trPr>
          <w:cantSplit/>
        </w:trPr>
        <w:tc>
          <w:p>
            <w:pPr>
              <w:pStyle w:val="NormalinTable"/>
            </w:pPr>
            <w:r>
              <w:rPr>
                <w:b/>
              </w:rPr>
              <w:t>5303 10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c>
          <w:p>
            <w:pPr>
              <w:pStyle w:val="NormalinTable"/>
              <w:jc w:val="center"/>
            </w:pPr>
            <w:r>
              <w:t>{SUPPUNIT}</w:t>
            </w:r>
          </w:p>
        </w:tc>//-->
      </w:tr>
      <w:tr>
        <w:trPr>
          <w:cantSplit/>
        </w:trPr>
        <w:tc>
          <w:p>
            <w:pPr>
              <w:pStyle w:val="NormalinTable"/>
            </w:pPr>
            <w:r>
              <w:rPr>
                <w:b/>
              </w:rPr>
              <w:t>5303 90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c>
          <w:p>
            <w:pPr>
              <w:pStyle w:val="NormalinTable"/>
              <w:jc w:val="center"/>
            </w:pPr>
            <w:r>
              <w:t>{SUPPUNIT}</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c>
          <w:p>
            <w:pPr>
              <w:pStyle w:val="NormalinTable"/>
              <w:jc w:val="center"/>
            </w:pPr>
            <w:r>
              <w:t>{SUPPUNIT}</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c>
          <w:p>
            <w:pPr>
              <w:pStyle w:val="NormalinTable"/>
              <w:jc w:val="center"/>
            </w:pPr>
            <w:r>
              <w:t>{SUPPUNIT}</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c>
          <w:p>
            <w:pPr>
              <w:pStyle w:val="NormalinTable"/>
              <w:jc w:val="center"/>
            </w:pPr>
            <w:r>
              <w:t>{SUPPUNIT}</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c>
          <w:p>
            <w:pPr>
              <w:pStyle w:val="NormalinTable"/>
              <w:jc w:val="center"/>
            </w:pPr>
            <w:r>
              <w:t>{SUPPUNIT}</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c>
          <w:p>
            <w:pPr>
              <w:pStyle w:val="NormalinTable"/>
              <w:jc w:val="center"/>
            </w:pPr>
            <w:r>
              <w:t>{SUPPUNIT}</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c>
          <w:p>
            <w:pPr>
              <w:pStyle w:val="NormalinTable"/>
              <w:jc w:val="center"/>
            </w:pPr>
            <w:r>
              <w:t>{SUPPUNIT}</w:t>
            </w:r>
          </w:p>
        </w:tc>//-->
      </w:tr>
      <w:tr>
        <w:trPr>
          <w:cantSplit/>
        </w:trPr>
        <w:tc>
          <w:p>
            <w:pPr>
              <w:pStyle w:val="NormalinTable"/>
            </w:pPr>
            <w:r>
              <w:rPr>
                <w:b/>
              </w:rPr>
              <w:t>5307 10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5307 20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c>
          <w:p>
            <w:pPr>
              <w:pStyle w:val="NormalinTable"/>
              <w:jc w:val="center"/>
            </w:pPr>
            <w:r>
              <w:t>{SUPPUNIT}</w:t>
            </w:r>
          </w:p>
        </w:tc>//-->
      </w:tr>
      <w:tr>
        <w:trPr>
          <w:cantSplit/>
        </w:trPr>
        <w:tc>
          <w:p>
            <w:pPr>
              <w:pStyle w:val="NormalinTable"/>
            </w:pPr>
            <w:r>
              <w:rPr>
                <w:b/>
              </w:rPr>
              <w:t>5308 10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c>
          <w:p>
            <w:pPr>
              <w:pStyle w:val="NormalinTable"/>
              <w:jc w:val="center"/>
            </w:pPr>
            <w:r>
              <w:t>{SUPPUNIT}</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c>
          <w:p>
            <w:pPr>
              <w:pStyle w:val="NormalinTable"/>
              <w:jc w:val="center"/>
            </w:pPr>
            <w:r>
              <w:t>{SUPPUNIT}</w:t>
            </w:r>
          </w:p>
        </w:tc>//-->
      </w:tr>
      <w:tr>
        <w:trPr>
          <w:cantSplit/>
        </w:trPr>
        <w:tc>
          <w:p>
            <w:pPr>
              <w:pStyle w:val="NormalinTable"/>
            </w:pPr>
            <w:r>
              <w:rPr>
                <w:b/>
              </w:rPr>
              <w:t>5308 20 10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c>
          <w:p>
            <w:pPr>
              <w:pStyle w:val="NormalinTable"/>
              <w:jc w:val="center"/>
            </w:pPr>
            <w:r>
              <w:t>{SUPPUNIT}</w:t>
            </w:r>
          </w:p>
        </w:tc>//-->
      </w:tr>
      <w:tr>
        <w:trPr>
          <w:cantSplit/>
        </w:trPr>
        <w:tc>
          <w:p>
            <w:pPr>
              <w:pStyle w:val="NormalinTable"/>
            </w:pPr>
            <w:r>
              <w:rPr>
                <w:b/>
              </w:rPr>
              <w:t>5308 90 12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c>
          <w:p>
            <w:pPr>
              <w:pStyle w:val="NormalinTable"/>
              <w:jc w:val="center"/>
            </w:pPr>
            <w:r>
              <w:t>{SUPPUNIT}</w:t>
            </w:r>
          </w:p>
        </w:tc>//-->
      </w:tr>
      <w:tr>
        <w:trPr>
          <w:cantSplit/>
        </w:trPr>
        <w:tc>
          <w:p>
            <w:pPr>
              <w:pStyle w:val="NormalinTable"/>
            </w:pPr>
            <w:r>
              <w:rPr>
                <w:b/>
              </w:rPr>
              <w:t>5308 90 19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c>
          <w:p>
            <w:pPr>
              <w:pStyle w:val="NormalinTable"/>
              <w:jc w:val="center"/>
            </w:pPr>
            <w:r>
              <w:t>{SUPPUNIT}</w:t>
            </w:r>
          </w:p>
        </w:tc>//-->
      </w:tr>
      <w:tr>
        <w:trPr>
          <w:cantSplit/>
        </w:trPr>
        <w:tc>
          <w:p>
            <w:pPr>
              <w:pStyle w:val="NormalinTable"/>
            </w:pPr>
            <w:r>
              <w:rPr>
                <w:b/>
              </w:rPr>
              <w:t>5308 90 90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 or more by weight of flax</w:t>
              <!--{FOOT}//-->
            </w:r>
          </w:p>
        </w:tc>
        <!--<w:tc>
          <w:p>
            <w:pPr>
              <w:pStyle w:val="NormalinTable"/>
              <w:jc w:val="center"/>
            </w:pPr>
            <w:r>
              <w:t>{SUPPUNIT}</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5309 11 90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c>
          <w:p>
            <w:pPr>
              <w:pStyle w:val="NormalinTable"/>
              <w:jc w:val="center"/>
            </w:pPr>
            <w:r>
              <w:t>{SUPPUNIT}</w:t>
            </w:r>
          </w:p>
        </w:tc>//-->
      </w:tr>
      <w:tr>
        <w:trPr>
          <w:cantSplit/>
        </w:trPr>
        <w:tc>
          <w:p>
            <w:pPr>
              <w:pStyle w:val="NormalinTable"/>
            </w:pPr>
            <w:r>
              <w:rPr>
                <w:b/>
              </w:rPr>
              <w:t>5309 19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 by weight of flax</w:t>
              <!--{FOOT}//-->
            </w:r>
          </w:p>
        </w:tc>
        <!--<w:tc>
          <w:p>
            <w:pPr>
              <w:pStyle w:val="NormalinTable"/>
              <w:jc w:val="center"/>
            </w:pPr>
            <w:r>
              <w:t>{SUPPUNIT}</w:t>
            </w:r>
          </w:p>
        </w:tc>//-->
      </w:tr>
      <w:tr>
        <w:trPr>
          <w:cantSplit/>
        </w:trPr>
        <w:tc>
          <w:p>
            <w:pPr>
              <w:pStyle w:val="NormalinTable"/>
            </w:pPr>
            <w:r>
              <w:rPr>
                <w:b/>
              </w:rPr>
              <w:t>5309 21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c>
          <w:p>
            <w:pPr>
              <w:pStyle w:val="NormalinTable"/>
              <w:jc w:val="center"/>
            </w:pPr>
            <w:r>
              <w:t>{SUPPUNIT}</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5310 10 10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c>
          <w:p>
            <w:pPr>
              <w:pStyle w:val="NormalinTable"/>
              <w:jc w:val="center"/>
            </w:pPr>
            <w:r>
              <w:t>{SUPPUNIT}</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c>
          <w:p>
            <w:pPr>
              <w:pStyle w:val="NormalinTable"/>
              <w:jc w:val="center"/>
            </w:pPr>
            <w:r>
              <w:t>{SUPPUNIT}</w:t>
            </w:r>
          </w:p>
        </w:tc>//-->
      </w:tr>
      <w:tr>
        <w:trPr>
          <w:cantSplit/>
        </w:trPr>
        <w:tc>
          <w:p>
            <w:pPr>
              <w:pStyle w:val="NormalinTable"/>
            </w:pPr>
            <w:r>
              <w:rPr>
                <w:b/>
              </w:rPr>
              <w:t>5311 00 10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c>
          <w:p>
            <w:pPr>
              <w:pStyle w:val="NormalinTable"/>
              <w:jc w:val="center"/>
            </w:pPr>
            <w:r>
              <w:t>{SUPPUNIT}</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 - with a weight of 230 g/m</w:t>
            </w:r>
            <w:r>
              <w:rPr>
                <w:vertAlign w:val="superscript"/>
              </w:rPr>
              <w:t>2</w:t>
            </w:r>
            <w:r>
              <w:t xml:space="preserve"> or more but not more than 280 g/m</w:t>
            </w:r>
            <w:r>
              <w:rPr>
                <w:vertAlign w:val="superscript"/>
              </w:rPr>
              <w:t>2</w:t>
            </w:r>
            <w:r>
              <w:t xml:space="preserve">, and - cut into rectangles with a side length of 40 cm or more but not more than 140 cm </w:t>
              <!--{FOOT}//-->
            </w:r>
          </w:p>
        </w:tc>
        <!--<w:tc>
          <w:p>
            <w:pPr>
              <w:pStyle w:val="NormalinTable"/>
              <w:jc w:val="center"/>
            </w:pPr>
            <w:r>
              <w:t>{SUPPUNIT}</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