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Printed books, brochures, leaflets and similar printed matter, whether or not in single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single sheets, whether or not folded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4901 91 00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Dictionaries and encyclopaedias, and serial instalments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4901 99 00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Newspapers, journals and periodicals, whether or not illustrated or containing advertising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4902 10 00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Appearing at least four times a week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4902 90 00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4903 00 00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Children's picture, drawing or colouring books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4904 00 00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Music, printed or in manuscript, whether or not bound or illustrated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Maps and hydrographic or similar charts of all kinds, including atlases, wall maps, topographical plans and globes, 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4905 10 00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Globes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4905 91 00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book form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4905 99 00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4906 00 00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Postage, revenue and similar stamps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Banknotes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Transfers (decalcomanias)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4908 10 00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Transfers (decalcomanias), vitrifiable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4908 90 00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4909 00 00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Printed or illustrated postcards; printed cards bearing personal greetings, messages or announcements, whether or not illustrated, with or without envelopes or trimmings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4910 00 00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Calendars of any kind, printed, including calendar blocks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printed matter, including printed pictures and photographs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Trade advertising material, commercial catalogues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Commercial catalogues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Pictures, designs and photographs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4911 99 00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