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Bulbs, tubers, tuberous roots, corms, crowns and rhizomes, dormant, in growth or in flower; chicory plants and roots other than roots of heading 1212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dormant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Hyacinths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Narcissi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in growth or in flower; 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Orchids, hyacinths, narcissi and 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plants (including their roots), cuttings and slips; 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Unrooted cuttings and slips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Trees, shrubs and bushes, grafted or not, of kinds which bear edible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Vine slips, grafted or rooted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Citrus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Rhododendrons and azaleas,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Roses,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Pineapple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and strawberry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Trees, shrubs and bushes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Rooted cuttings and young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Conifers and evergreens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Rooted cuttings and young plants,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Flowering plants with buds or flowers,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Cut flowers and flower buds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Carnations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Chrysanthemums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Lilies (Lilium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Ranunculi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Christmas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 branches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prepared than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