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ores and concentrates, including roasted iron pyrites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ores and concentrates, other than roasted iron pyrites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iron pyrites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ores and concentrates, including ferruginous manganese ores and concentrates with a manganese content of 20% or more, calculated on the dry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Uranium or thorium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ores and pitchblende, and concentrates thereof, with a uranium content of more than 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Thorium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Monazite; urano-thorianite and other thorium ores and concentrates, with a thorium content of more than 20%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Niobium, tantalum, vanadium or zirconium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Zirconium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Precious-metal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ores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Granulated slag (slag sand) from the manufacture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dross (other than granulated slag), scalings and other waste from the manufacture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suitable for the recovery of iron or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ash and residues (other than from the manufacture of iron or steel), containing metals, arsenic or their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zinc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 zinc spelter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lead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gasoline sludges and leaded anti-knock compound sludges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arsenic, mercury, thallium or their mixtures, of a kind used for the extraction of arsenic or those metals or for the manufacture of their chemical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antimony, beryllium, cadmium, chromium or their 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niobium or tantalum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slag and ash, including seaweed ash (kelp); ash and residues from the incineration of municipal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and residues from the incineration of municipal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