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and organic surface-active products and preparations, in the form of bars, cakes, moulded pieces or shapes, and paper, wadding, felt and nonwovens, impregnated, coated or covered with soap or detergent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toilet use (including medicated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in other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products and preparations for washing the skin, in the form of liquid or cream and put up for retail sale, whether or not containing soap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surface-active agents (other than soap); surface-active preparations, washing preparations (including auxiliary washing preparations) and cleaning preparations, whether or not containing soap, other than those of heading 3401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agents, whether or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30% or more but not more than 50% of disodium alkyl [oxydi(benzenesulphonate)]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Cationic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petroleum oils or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petroleum oils or of oils obtained from bituminous minerals but not as the basic constituent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Lubricants having a bio-based carbon content of at least 25% by mass and which are biodegradable at a level of at least 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waxes and prepared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poly(oxyethylene) (polyethylene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footwear or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the maintenance of wooden furniture, floors or other woodwork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and similar preparations for coachwork, other than metal polishes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Scouring pastes and powders and other scouring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polishes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Candles, tapers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