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brochures, leaflets and similar printed matter, whether or not in single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single sheets, whether or not folded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Dictionaries and encyclopaedias, and serial instalments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Newspapers, journals and periodicals, whether or not illustrated or containing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Appearing at least four times a week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Children's picture, drawing or colouring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Music, printed or in manuscript, whether or not bound or illustrated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Maps and hydrographic or similar charts of all kinds, including atlases, wall maps, topographical plans and globes,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book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Plans and drawings for architectural, engineering, industrial, commercial, topographical or similar purposes, being originals drawn by hand; handwritten texts; photographic reproductions on sensitised paper and carbon copies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Postage, revenue and similar stamps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Banknotes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Transfers (decalcomanias)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Transfers (decalcomanias), vitrifiable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or illustrated postcards; printed cards bearing personal greetings, messages or announcements, whether or not illustrated, with or without envelopes or trimmings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Calendars of any kind, printed, including calendar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printed matter, including printed pictures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Trade advertising material, commercial catalogues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Commercial catalogues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Pictures, designs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