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XIII</w:t>
      </w:r>
      <w:r>
        <w:br/>
        <w:t>Articles of stone, plaster, cement, asbestos, mica or similar materials; ceramic products; glass and glassware</w:t>
      </w:r>
    </w:p>
    <w:p>
      <w:pPr>
        <w:pStyle w:val="Heading2"/>
      </w:pPr>
      <w:r>
        <w:t>Chapter 68</w:t>
      </w:r>
      <w:r>
        <w:br/>
        <w:t>Articles of Stone, Plaster, Cement, Asbestos, Mica or Similar Materials</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6801 00 00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Setts, curbstones and flagstones, of natural stone (except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monumental or building stone (except slate) and articles thereof, other than goods of heading 6801; mosaic cubes and the like, of natural stone (including slate), whether or not on a backing; artificially coloured granules, chippings and powder, of natural stone (including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cubes and similar articles, whether or not rectangular (including square), the largest surface area of which is capable of being enclosed in a square the side of which is less than 7 cm; artificially coloured granules, chippings and powder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monumental or building stone and articles thereof, simply cut or sawn, with a flat or even surface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Marble, travertine and alabaster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calcareous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Granite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Polished, decorated or otherwise worked, but not carved, of a net weight of 10 kg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slate and articles of slate or of agglomerated slate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Roofing and wall slates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Millstones, grindstones, grinding wheels and the like, without frameworks, for grinding, sharpening, polishing, trueing or cutting, hand sharpening or polishing stones, and parts thereof, of natural stone, of agglomerated natural or artificial abrasives, or of ceramics, with or without parts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Millstones and grindstones for milling, grinding or pulping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millstones, grindstones, grinding wheels and the like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agglomerated synthetic or natural diamond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other agglomerated abrasives or of ceramics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artificial abrasives, with binder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synthetic or artificial resin</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ceramics or silicates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natural stone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6804 30 00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sharpening or polishing stones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Natural or artificial abrasive powder or grain, on a base of textile material, of paper, of paperboard or of other materials, whether or not cut to shape or sewn or otherwise made up</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woven textile fabric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paper or paperboard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On a base of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Slag-wool, rock-wool and similar mineral wools; exfoliated vermiculite, expanded clays, foamed slag and similar expanded mineral materials; mixtures and articles of heat-insulating, sound-insulating or sound-absorbing mineral materials, other than those of heading 6811 or 6812 or of Chapter 69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Slag-wool, rock-wool and similar mineral wools (including intermixtures thereof), in bulk,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Exfoliated vermiculite, expanded clays, foamed slag and similar expanded mineral materials (including intermixtures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Expanded clays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asphalt or of similar material (for example, petroleum bitumen or coal tar pitch)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6808 00 00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Panels, boards, tiles, blocks and similar articles of vegetable fibre, of straw or of shavings, chips, particles, sawdust or other waste of wood, agglomerated with cement, plaster or other mineral binders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plaster or of compositions based on plaster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Boards, sheets, panels, tiles and similar articles, not ornamented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Faced or reinforced with paper or paperboard only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6809 90 00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cement, of concrete or of artificial stone, whether or not reinforced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Tiles, flagstones, bricks and similar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Building blocks and bricks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light concrete (with a basis of crushed pumice, granulated slag, etc.)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Prefabricated structural components for building or civil engineering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asbestos-cement, of cellulose fibre-cement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Corrugated sheets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sheets, panels, tiles and similar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6811 89 00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articles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Fabricated asbestos fibres; mixtures with a basis of asbestos or with a basis of asbestos and magnesium carbonate; articles of such mixtures or of asbestos (for example, thread, woven fabric, clothing, headgear, footwear, gaskets), whether or not reinforced, other than goods of heading 6811 or 6813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crocidolite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Fabricated fibres; mixtures with a basis of asbestos or with a basis of asbestos and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6812 80 90 90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Clothing, clothing accessories, footwear and headgear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Paper, millboard and felt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Compressed asbestos fibre jointing, in sheets or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Fabricated asbestos fibres; mixtures with a basis of asbestos or with a basis of asbestos and magnesium carbonate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6812 99 90 90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Friction material and articles thereof (for example, sheets, rolls, strips, segments, discs, washers, pads), not mounted, for brakes, for clutches or the like, with a basis of asbestos, of other mineral substances or of cellulose, whether or not combined with textile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Containing asbestos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Not containing asbestos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Brake linings and pads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Friction material, of a thickness of less than 20 mm, not mounted, for use in the manufacture of friction components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6813 89 00 90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Worked mica and articles of mica, including agglomerated or reconstituted mica, whether or not on a support of paper, paperboard or other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sheets and strips of agglomerated or reconstituted mica, whether or not on a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Articles of stone or of other mineral substances (including carbon fibres, articles of carbon fibres and articles of peat),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Non-electrical articles of graphite or other carbon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Carbon fibres and articles of carbon fibres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Articles of peat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articles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Containing magnesite, dolomite or chromite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6815 99 00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