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0.25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0.25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0.055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0.055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 - composed of continuous glass filaments of 9 µm (±0.5 µm), - measuring 200 tex or more but not more than 680 tex, - not containing any calcium oxide, and - with a breaking strength of more than 3 550 Mpa determined by ASTM D2343-09 for use in the manufacture of aeronautics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 - composed of continuous glass filaments of 9 µm (±0.5 µm), - measuring 200 tex or more but not more than 680 tex, - not containing any calcium oxide, and - with a breaking strength of more than 3 550 Mpa determined by ASTM D2343-09 for use in the manufacture of aeronautics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Boards and similar non-woven products of low moisture absorption capacity,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Non-woven product of non-textile glass fibre, for the manufacture of air filters or catalysts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Woven fabrics of rovings, impregnated with epoxy resin, with a coefficient of thermal expansion between 30°C and 120°C (measured according to IPC-TM-650) of: - 10ppm per°C or more but not more than 12ppm per°C in the length and width, and - 20ppm per°C or more but not more than 30ppm per°C in the thickness, with a glass transition temperature of 152°C or more but not more than 153°C (measured according IPC-TM-650)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Prepreg sheets or rolls containing polyimide resin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 - having a weight of 20 g/m² or more, but not more than 214 g/m², - impregnated with silane, - in rolls, - having a humidity content by weight of 0.13 % or less, and - having not more than 3 hollow fibres out of 100 000 fibres, for the exclusive use in the manufacture of prepregs and copper clad laminates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Non-textile glass fibres in which fibres of a diameter of less than 4,6 µm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