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 - an operating pressure of 200 bar or more, but not more than 350 bar, - a flow control, and - a pressure relief valve,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 - consisting of aluminium alloys, - with a diameter of 38 mm or 50 mm, - with two concentric, annular grooves formed on its surface, - anodised, of a kind used in motor vehicles with petrol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 - a flow of 4.5 l/min or more, but not more than 7 l/min, - power input of not more than 8.1 W, and -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 - a flow of 4.5 l/min or more, but not more than 7 l/min, - power input of not more than 8.1 W, and -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 - a length of 166 mm (+/- 1 mm), - a diameter of 70 mm (+/- 1 mm), - an internal capacity of 280 cm</w:t>
            </w:r>
            <w:r>
              <w:rPr>
                <w:vertAlign w:val="superscript"/>
              </w:rPr>
              <w:t>3</w:t>
            </w:r>
            <w:r>
              <w:t xml:space="preserve"> or more, - a water absorption rate of 17 g or more, and - an internal purity expressed by permissible amount of impurities of not more than 0.9 mg/dm</w:t>
            </w:r>
            <w:r>
              <w:rPr>
                <w:vertAlign w:val="superscript"/>
              </w:rPr>
              <w:t>2</w:t>
            </w:r>
            <w:r>
              <w:t xml:space="preserve">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