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and organic surface-active products and preparations, in the form of bars, cakes, moulded pieces or shapes, and paper, wadding, felt and nonwovens, impregnated, coated or covered with soap or detergent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and organic surface-active products and preparations, in the form of bars, cakes, moulded pieces or shapes, and paper, wadding, felt and nonwovens, impregnated, coated or covered with soap or detergent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toilet use (including medicated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in other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Flakes, wafers, granules or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Flakes, wafers, granules or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products and preparations for washing the skin, in the form of liquid or cream and put up for retail sale, whether or not containing soap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surface-active agents (other than soap); surface-active preparations, washing preparations (including auxiliary washing preparations) and cleaning preparations, whether or not containing soap, other than those of heading 3401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agents, whether or not put up for retail sale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30% or more but not more than 50% of disodium alkyl [oxydi(benzenesulphonate)]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Cationic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 copolymer surface active agent based on polypropylene glycol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Surfactant containing 1,4-dimethyl-1,4-bis(2-methylpropyl)-2-butyne-1,4-diyl ether, polymerised with oxirane, methyl terminated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petroleum oils or oils obtained from bituminous minerals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petroleum oils or of oils obtained from bituminous minerals but not as the basic constituent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petroleum oils or of oils obtained from bituminous minerals but not as the basic constituent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Lubricants having a bio-based carbon content of at least 25% by mass and which are biodegradable at a level of at least 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waxes and prepared waxes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poly(oxyethylene) (polyethylene glycol)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footwear or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the maintenance of wooden furniture, floors or other woodwork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and similar preparations for coachwork, other than metal polishes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Scouring pastes and powders and other scouring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polishes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Candles, tapers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