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w:t></w:r></w:t>
            </w:r>//-->
            <w:r>
              <w:t>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w:t></w:r></w:t>
            </w:r>//-->
            <w:r>
              <w:t>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w:t></w:r></w:t>
            </w:r>//-->
            <w:r>
              <w:t>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