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other than those of heading 6203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other than those of heading 6204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Overcoats, raincoats, car coats, capes, cloaks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not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weight, per garment, exceeding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Trousers and breeches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Bib and brace overalls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singlets and other vests, underpants, briefs, nightshirts, pyjamas, bathrobes, dressing gowns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singlets and other vests, slips, petticoats, briefs, panties, nightdresses, pyjamas, négligés, bathrobes, dressing gowns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10.5%</w:t></w:r></w:t>
            </w:r>//-->
            <w:r>
              <w:t>10.5%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fabrics of heading 5602, 5603, 5903, 5906 or 5907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fabrics of heading 5602 or 5603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fabrics of heading 5603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Single-use gowns, of a kind used by patients or surgeons during surgical procedures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6201 11 to 6201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of the type described in subheadings 6202 11 to 6202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men's or boys' garments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or girls' garments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swimwear; other garments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Swimwear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Men's or boys'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Women's or girls'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men's or boys'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Industrial and occupational clothing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garments, women's or girls'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Tracksuits with lining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Brassières, girdles, corsets, braces, suspenders, garters and similar articles and parts thereof, whether or not 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Brassières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 set made up for retail sale containing a brassière and a pair of briefs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Girdles and panty girdles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Corselettes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Handkerchiefs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Shawls, scarves, mufflers, mantillas, veils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Ties, bow ties and cravats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7.6%</w:t></w:r></w:t>
            </w:r>//-->
            <w:r>
              <w:t>7.6%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accessories; parts of garments or of clothing accessories, other than those of heading 6212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