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w:t></w:r></w:t>
            </w:r>//-->
            <w:r>
              <w:t>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aluminum alloys, - with a diameter of 38 mm or 50 mm, - with two concentric, annular grooves formed on its surface, - anodized, of a kind used in motor vehicles with petrol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of a kind used in robot arms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