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92</w:t>
      </w:r>
      <w:r>
        <w:br/>
        <w:t>Musical Instruments; Parts and Accessories of Such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Pianos, including automatic pianos; harpsichords and other keyboard stringed instruments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Upright pianos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Grand pianos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string musical instruments (for example, guitars, violins, harps)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Played with a bow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Violins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Wind musical instruments (for example, keyboard pipe organs, accordions, clarinets, trumpets, bagpipes), other than fairground organs and mechanical street organs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Wind musical instruments (for example, keyboard pipe organs, accordions, clarinets, trumpets, bagpipes), other than fairground organs and mechanical street organs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Brass-wind instruments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Accordions and similar instruments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Mouth organs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Keyboard pipe organs; harmoniums and similar keyboard instruments with free metal reeds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Percussion musical instruments (for example, drums, xylophones, cymbals, castanets, maracas)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instruments, the sound of which is produced, or must be amplified, electrically (for example, organs, guitars, accordions)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Keyboard instruments, other than accordions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Organs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Digital pianos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Synthesisers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boxes, fairground organs, mechanical street organs, mechanical singing birds, musical saws and other musical instruments not falling within any other heading of this chapter; decoy calls of all kinds; whistles, call horns and other mouth-blown sound signalling instruments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(for example, mechanisms for musical boxes) and accessories (for example, cards, discs and rolls for mechanical instruments) of musical instruments; metronomes, tuning forks and pitch pipes of all kinds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instrument strings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pianos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and accessories for the musical instruments of heading 9205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Metronomes, tuning forks and pitch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Metronomes, tuning forks and pitch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Mechanisms for musical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