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Bosnia and Herzegovina,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Bosnia and Herzegovina,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