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Republic of Chile, version 1.0, dated 12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the Republic of Chile, of the other part, signed on 12/02/2019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15/04 to 30/11</w:t>
            </w:r>
            <w:r>
              <w:tab/>
              <w:t>10.10%</w:t>
            </w:r>
            <w:r>
              <w:br/>
            </w:r>
            <w:r>
              <w:t>01/12 to 14/04</w:t>
            </w:r>
            <w:r>
              <w:tab/>
              <w:t>6.10%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30/11</w:t>
            </w:r>
            <w:r>
              <w:tab/>
              <w:t>8.50%</w:t>
            </w:r>
            <w:r>
              <w:br/>
            </w:r>
            <w:r>
              <w:t>01/12 to 31/03</w:t>
            </w:r>
            <w:r>
              <w:tab/>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30/09</w:t>
            </w:r>
            <w:r>
              <w:tab/>
              <w:t>10.10%</w:t>
            </w:r>
            <w:r>
              <w:br/>
            </w:r>
            <w:r>
              <w:t>01/10 to 30/06</w:t>
            </w:r>
            <w:r>
              <w:tab/>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25.90 €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20.40%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36.50%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26.50%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14.50%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1,150,000 kg (2019)</w:t>
            </w:r>
          </w:p>
          <w:p>
            <w:pPr>
              <w:pStyle w:val="NormalinTable"/>
            </w:pPr>
            <w:r>
              <w:t>1,574,000 kg + 58,000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1,150,000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657,000 kg (2019)</w:t>
            </w:r>
          </w:p>
          <w:p>
            <w:pPr>
              <w:pStyle w:val="NormalinTable"/>
            </w:pPr>
            <w:r>
              <w:t>899,000 kg + 33,000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657,000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7,951,000 kg (2019)</w:t>
            </w:r>
          </w:p>
          <w:p>
            <w:pPr>
              <w:pStyle w:val="NormalinTable"/>
            </w:pPr>
            <w:r>
              <w:t>10,880,000 kg + 403,000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7,951,000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342,000 kg (2019)</w:t>
            </w:r>
          </w:p>
          <w:p>
            <w:pPr>
              <w:pStyle w:val="NormalinTable"/>
            </w:pPr>
            <w:r>
              <w:t>462,000 kg + 12,000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342,000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0406 90 01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0406 90 63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121,000 kg (2019)</w:t>
            </w:r>
          </w:p>
          <w:p>
            <w:pPr>
              <w:pStyle w:val="NormalinTable"/>
            </w:pPr>
            <w:r>
              <w:t>163,000 kg + 4,000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228,000 kg (2019)</w:t>
            </w:r>
          </w:p>
          <w:p>
            <w:pPr>
              <w:pStyle w:val="NormalinTable"/>
            </w:pPr>
            <w:r>
              <w:t>308,000 kg + 8,000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2003 10 20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114,000 kg (2019)</w:t>
            </w:r>
          </w:p>
          <w:p>
            <w:pPr>
              <w:pStyle w:val="NormalinTable"/>
            </w:pPr>
            <w:r>
              <w:t>154,000 kg + 4,000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2008 60 19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228,000 kg (2019)</w:t>
            </w:r>
          </w:p>
          <w:p>
            <w:pPr>
              <w:pStyle w:val="NormalinTable"/>
            </w:pPr>
            <w:r>
              <w:t>308,000 kg + 8,000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51,000 kg (2019)</w:t>
            </w:r>
          </w:p>
          <w:p>
            <w:pPr>
              <w:pStyle w:val="NormalinTable"/>
            </w:pPr>
            <w:r>
              <w:t>67,000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51,000 kg (2019)</w:t>
            </w:r>
          </w:p>
          <w:p>
            <w:pPr>
              <w:pStyle w:val="NormalinTable"/>
            </w:pPr>
            <w:r>
              <w:t>67,000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63,000 kg (2019)</w:t>
            </w:r>
          </w:p>
          <w:p>
            <w:pPr>
              <w:pStyle w:val="NormalinTable"/>
            </w:pPr>
            <w:r>
              <w:t>83,000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0302 54 11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632,000 kg (2019)</w:t>
            </w:r>
          </w:p>
          <w:p>
            <w:pPr>
              <w:pStyle w:val="NormalinTable"/>
            </w:pPr>
            <w:r>
              <w:t>833,000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632,000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0305 39 10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5,000 kg (2019)</w:t>
            </w:r>
          </w:p>
          <w:p>
            <w:pPr>
              <w:pStyle w:val="NormalinTable"/>
            </w:pPr>
            <w:r>
              <w:t>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8.00%</w:t>
            </w:r>
          </w:p>
        </w:tc>
        <!-- End Preferential Quota Duty Rate cell //-->
        <!-- Begin Quota Volume cell //-->
        <w:tc>
          <w:tcPr>
            <w:tcBorders>
              <w:top w:val="single" w:sz="12" w:space="0" w:color="000000" w:themeColor="background1" w:themeShade="00"/>
            </w:tcBorders>
          </w:tcPr>
          <w:tcPr>
            <w:vMerge w:val="restart"/>
          </w:tcPr>
          <w:p>
            <w:pPr>
              <w:pStyle w:val="NormalinTable"/>
            </w:pPr>
            <w:r>
              <w:t>19,000 kg (2019)</w:t>
            </w:r>
          </w:p>
          <w:p>
            <w:pPr>
              <w:pStyle w:val="NormalinTable"/>
            </w:pPr>
            <w:r>
              <w:t>25,000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127,000 kg (2019)</w:t>
            </w:r>
          </w:p>
          <w:p>
            <w:pPr>
              <w:pStyle w:val="NormalinTable"/>
            </w:pPr>
            <w:r>
              <w:t>167,000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657,000 kg (2019)</w:t>
            </w:r>
          </w:p>
          <w:p>
            <w:pPr>
              <w:pStyle w:val="NormalinTable"/>
            </w:pPr>
            <w:r>
              <w:t>899,000 kg + 33,000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657,000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657,000 kg (2019)</w:t>
            </w:r>
          </w:p>
          <w:p>
            <w:pPr>
              <w:pStyle w:val="NormalinTable"/>
            </w:pPr>
            <w:r>
              <w:t>899,000 kg + 33,000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657,000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323,000 kg (2019)</w:t>
            </w:r>
          </w:p>
          <w:p>
            <w:pPr>
              <w:pStyle w:val="NormalinTable"/>
            </w:pPr>
            <w:r>
              <w:t>442,000 kg + 17,000 kg/year</w:t>
            </w:r>
          </w:p>
        </w:tc>
        <!-- End Quota Volume cell //-->
        <!-- Begin Quota Open Date cell //-->
        <w:tc>
          <w:tcPr>
            <w:tcBorders>
              <w:top w:val="single" w:sz="12" w:space="0" w:color="000000" w:themeColor="background1" w:themeShade="00"/>
            </w:tcBorders>
          </w:tcPr>
          <w:tcPr>
            <w:vMerge w:val="restart"/>
          </w:tcPr>
          <w:p>
            <w:pPr>
              <w:pStyle w:val="NormalinTable"/>
            </w:pPr>
            <w:r>
              <w:t>01/07/2019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30/06/2020</w:t>
            </w:r>
            <!--OPT//-->
            <w:r>
              <w:br/>
            </w:r>
            <!--OPT//-->
            <w:r>
              <w:t>30/06</w:t>
            </w:r>
          </w:p>
        </w:tc>
        <!-- End Quota Close Date cell //-->
        <!-- Begin 2019 Quota Volume cell //-->
        <!--
				<w:tc>
                    <w:tcPr>
                        <w:tcBorders>
                            <w:top w:val="single" w:sz="12" w:space="0" w:color="000000" w:themeColor="background1" w:themeShade="00"/>
                        </w:tcBorders>
                    </w:tcPr>
					<w:p>
						<w:pPr>
							<w:pStyle w:val="NormalinTable"/>
						</w:pPr>
						<w:r>
							<w:t>323,000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