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ESA countries,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ESA, of the other part, signed on 05/02/2019 ("the Agreement"). It is made pursuant to regulations 3, 4, 5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 xml:space="preserve">a "Duty Rate" </w:t>
      </w:r>
      <w:r>
        <w:t>is any alphanumeric information appearing in column 2 of the Preferential Duty Tariff Table</w:t>
      </w:r>
      <w:bookmarkStart w:id="0" w:name="_GoBack"/>
      <w:bookmarkEnd w:id="0"/>
      <w:r>
        <w:t>.</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regulations 2 and 3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5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yyy] 2019, Annex IV, Appendix C.</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Appendix B of the Customs Tariff of the United Kingdom version 1.0 of [xx yyy] 2019, the duty rate will be the by-value percentage with no additional Specific component added.</w:t>
      </w:r>
    </w:p>
    <w:p>
      <w:pPr>
        <w:pStyle w:val="Heading3"/>
      </w:pPr>
      <w:r>
        <w:t>Authorised Use Goods (regulation 7 of the Regulations)</w:t>
      </w:r>
    </w:p>
    <w:p>
      <w:pPr>
        <w:pStyle w:val="Numberedlist"/>
      </w:pPr>
      <w:r>
        <w:t>Authorised use goods, as identified under regulation 6(1) of the Regulations, which meet the conditions of regulation 6(2) of the Regulations attract the relevant duty rates shown in column 2.</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