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ESA countries - Madagascar, version 1.0, dated 5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("the Regulations") for the Free Trade Agreement between the Government of the United Kingdom, of the one part, and the Government of Madagascar, of the other part, signed on 05/02/2019 ("the Agreement"). It is made pursuant to regulations 3, 4, 5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UK Goods Classification (UKGC)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bookmarkStart w:id="0" w:name="_GoBack"/>
      <w:bookmarkEnd w:id="0"/>
      <w:r>
        <w:t>.</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regulations 2 and 3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5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Customs Tariff of the United Kingdom version 1.0 of [xx yyy] 2019, Annex IV, Appendix C.</w:t>
      </w:r>
    </w:p>
    <w:p>
      <w:pPr>
        <w:pStyle w:val="Heading3"/>
      </w:pPr>
      <w:r>
        <w:t>Complex Agricultural Duty Goods (regulation 6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 </w:t>
      </w:r>
    </w:p>
    <w:p>
      <w:pPr>
        <w:pStyle w:val="Numberedlist"/>
      </w:pPr>
      <w:r>
        <w:t xml:space="preserve">The first percentage in column 2 after the word "CAD" is a percentage of the by-value UK WTO MFN rate for the goods classified under the relevant commodity code, in the relevant row of the Tariff Table in Annex II of the Customs Tariff of the United Kingdom version 1.0 of [xx yyy] 2019 made under the Tariff Regulations.</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Appendix B of the Customs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Appendix B of the Customs Tariff of the United Kingdom version 1.0 of [xx yyy] 2019, the duty rate will be the by-value percentage with no additional Specific component added.</w:t>
      </w:r>
    </w:p>
    <w:p>
      <w:pPr>
        <w:pStyle w:val="Heading3"/>
      </w:pPr>
      <w:r>
        <w:t>Authorised Use Goods (regulation 7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regulation 8 of the Regulations.</w:t>
      </w:r>
    </w:p>
    <w:p>
      <w:pPr>
        <w:pStyle w:val="Numberedlist-quotas"/>
      </w:pPr>
      <w:r>
        <w:t>The Commodity Code in column 3 is the commodity code classifying the goods.</w:t>
      </w:r>
    </w:p>
    <w:p>
      <w:pPr>
        <w:pStyle w:val="Numberedlist-quotas"/>
      </w:pPr>
      <w:r>
        <w:t>The Preferential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10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and (3)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9"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9"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4"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9"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9"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4"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16"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bl>
    <w:p>
      <w:pPr>
        <w:pStyle w:val="Heading3"/>
      </w:pPr>
      <w:r>
        <w:t>Entry Price Goods (regulation 5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6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7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