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the Swiss Confederation, version 1.0, dated 12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the Swiss Confederation, of the other part, signed on 12/02/2019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2 and 3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0404 90 83 10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2002 90 91 10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2002 90 99 10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2005 99 80 21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2008 30 75 20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2008 30 79 11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2008 70 98 25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2009 41 92 60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2009 81 31 50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2106 10 80 39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2932 19 00 41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3913 90 00 10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3913 90 00 20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3913 90 00 30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3913 90 00 85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3913 90 00 87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3913 90 00 88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3913 90 00 93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3913 90 00 95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3913 90 00 99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regulation 8 of the Regulations.</w:t>
      </w:r>
    </w:p>
    <w:p>
      <w:pPr>
        <w:pStyle w:val="Numberedlist-quotas"/>
      </w:pPr>
      <w:r>
        <w:t>The Commodity Code in column 3 is the commodity code classifying the goods.</w:t>
      </w:r>
    </w:p>
    <w:p>
      <w:pPr>
        <w:pStyle w:val="Numberedlist-quotas"/>
      </w:pPr>
      <w:r>
        <w:t>The Preferential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10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and (3)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090919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0210 19 50 10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77,000 kg (2019)</w:t>
            </w:r>
          </w:p>
          <w:p>
            <w:pPr>
              <w:pStyle w:val="NormalinTable"/>
            </w:pPr>
            <w:r>
              <w:t>102,000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77,000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0210 19 81 10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0210 19 81 20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1601 00 10 11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1601 00 10 19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1601 00 91 10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1601 00 99 11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1601 00 99 19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1602 49 19 10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090921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0701 10 00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163,000 kg (2019)</w:t>
            </w:r>
          </w:p>
          <w:p>
            <w:pPr>
              <w:pStyle w:val="NormalinTable"/>
            </w:pPr>
            <w:r>
              <w:t>215,000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163,000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090922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0702 00 00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- 0% + Specific 100%</w:t>
            </w:r>
          </w:p>
        </w:tc>
        <!-- End Preferential Quota Duty Rate cell //-->
        <!-- Begin Quota Volume cell //-->
        <w:tc>
          <w:tcPr>
            <w:tcBorders>
              <w:top w:val="single" w:sz="12" w:space="0" w:color="000000" w:themeColor="background1" w:themeShade="00"/>
            </w:tcBorders>
          </w:tcPr>
          <w:tcPr>
            <w:vMerge w:val="restart"/>
          </w:tcPr>
          <w:p>
            <w:pPr>
              <w:pStyle w:val="NormalinTable"/>
            </w:pPr>
            <w:r>
              <w:t>41,000 kg (2019)</w:t>
            </w:r>
          </w:p>
          <w:p>
            <w:pPr>
              <w:pStyle w:val="NormalinTable"/>
            </w:pPr>
            <w:r>
              <w:t>54,000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41,000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090923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0703 10 19</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204,000 kg (2019)</w:t>
            </w:r>
          </w:p>
          <w:p>
            <w:pPr>
              <w:pStyle w:val="NormalinTable"/>
            </w:pPr>
            <w:r>
              <w:t>269,000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204,000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0703 90 00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090924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0704 10 00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224,000 kg (2019)</w:t>
            </w:r>
          </w:p>
          <w:p>
            <w:pPr>
              <w:pStyle w:val="NormalinTable"/>
            </w:pPr>
            <w:r>
              <w:t>295,000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224,000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0704 90 00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090925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0705 11 00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122,000 kg (2019)</w:t>
            </w:r>
          </w:p>
          <w:p>
            <w:pPr>
              <w:pStyle w:val="NormalinTable"/>
            </w:pPr>
            <w:r>
              <w:t>161,000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122,000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0705 19 00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0705 21 00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0705 29 00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090926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0706 10 00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204,000 kg (2019)</w:t>
            </w:r>
          </w:p>
          <w:p>
            <w:pPr>
              <w:pStyle w:val="NormalinTable"/>
            </w:pPr>
            <w:r>
              <w:t>269,000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204,000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090927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0706 90 10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122,000 kg (2019)</w:t>
            </w:r>
          </w:p>
          <w:p>
            <w:pPr>
              <w:pStyle w:val="NormalinTable"/>
            </w:pPr>
            <w:r>
              <w:t>161,000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122,000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0706 90 90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090928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0707 00 05</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- 0% + Specific 100%</w:t>
            </w:r>
          </w:p>
        </w:tc>
        <!-- End Preferential Quota Duty Rate cell //-->
        <!-- Begin Quota Volume cell //-->
        <w:tc>
          <w:tcPr>
            <w:tcBorders>
              <w:top w:val="single" w:sz="12" w:space="0" w:color="000000" w:themeColor="background1" w:themeShade="00"/>
            </w:tcBorders>
          </w:tcPr>
          <w:tcPr>
            <w:vMerge w:val="restart"/>
          </w:tcPr>
          <w:p>
            <w:pPr>
              <w:pStyle w:val="NormalinTable"/>
            </w:pPr>
            <w:r>
              <w:t>41,000 kg (2019)</w:t>
            </w:r>
          </w:p>
          <w:p>
            <w:pPr>
              <w:pStyle w:val="NormalinTable"/>
            </w:pPr>
            <w:r>
              <w:t>54,000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41,000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0707 00 05 90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0707 00 05 99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090929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0708 20 00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41,000 kg (2019)</w:t>
            </w:r>
          </w:p>
          <w:p>
            <w:pPr>
              <w:pStyle w:val="NormalinTable"/>
            </w:pPr>
            <w:r>
              <w:t>54,000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41,000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090930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0709 30 00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20,000 kg (2019)</w:t>
            </w:r>
          </w:p>
          <w:p>
            <w:pPr>
              <w:pStyle w:val="NormalinTable"/>
            </w:pPr>
            <w:r>
              <w:t>27,000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20,000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090931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0709 40 00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20,000 kg (2019)</w:t>
            </w:r>
          </w:p>
          <w:p>
            <w:pPr>
              <w:pStyle w:val="NormalinTable"/>
            </w:pPr>
            <w:r>
              <w:t>27,000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20,000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090932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0709 70 00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41,000 kg (2019)</w:t>
            </w:r>
          </w:p>
          <w:p>
            <w:pPr>
              <w:pStyle w:val="NormalinTable"/>
            </w:pPr>
            <w:r>
              <w:t>54,000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41,000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090933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0709 99 10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41,000 kg (2019)</w:t>
            </w:r>
          </w:p>
          <w:p>
            <w:pPr>
              <w:pStyle w:val="NormalinTable"/>
            </w:pPr>
            <w:r>
              <w:t>54,000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41,000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090934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0709 99 50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41,000 kg (2019)</w:t>
            </w:r>
          </w:p>
          <w:p>
            <w:pPr>
              <w:pStyle w:val="NormalinTable"/>
            </w:pPr>
            <w:r>
              <w:t>54,000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41,000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090935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0709 93 10</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- 0% + Specific 100%</w:t>
            </w:r>
          </w:p>
        </w:tc>
        <!-- End Preferential Quota Duty Rate cell //-->
        <!-- Begin Quota Volume cell //-->
        <w:tc>
          <w:tcPr>
            <w:tcBorders>
              <w:top w:val="single" w:sz="12" w:space="0" w:color="000000" w:themeColor="background1" w:themeShade="00"/>
            </w:tcBorders>
          </w:tcPr>
          <w:tcPr>
            <w:vMerge w:val="restart"/>
          </w:tcPr>
          <w:p>
            <w:pPr>
              <w:pStyle w:val="NormalinTable"/>
            </w:pPr>
            <w:r>
              <w:t>41,000 kg (2019)</w:t>
            </w:r>
          </w:p>
          <w:p>
            <w:pPr>
              <w:pStyle w:val="NormalinTable"/>
            </w:pPr>
            <w:r>
              <w:t>54,000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41,000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090936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0709 93 90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41,000 kg (2019)</w:t>
            </w:r>
          </w:p>
          <w:p>
            <w:pPr>
              <w:pStyle w:val="NormalinTable"/>
            </w:pPr>
            <w:r>
              <w:t>54,000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41,000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0709 99 90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090937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0808 10 80 90</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- 0% + Specific 100%</w:t>
            </w:r>
          </w:p>
        </w:tc>
        <!-- End Preferential Quota Duty Rate cell //-->
        <!-- Begin Quota Volume cell //-->
        <w:tc>
          <w:tcPr>
            <w:tcBorders>
              <w:top w:val="single" w:sz="12" w:space="0" w:color="000000" w:themeColor="background1" w:themeShade="00"/>
            </w:tcBorders>
          </w:tcPr>
          <w:tcPr>
            <w:vMerge w:val="restart"/>
          </w:tcPr>
          <w:p>
            <w:pPr>
              <w:pStyle w:val="NormalinTable"/>
            </w:pPr>
            <w:r>
              <w:t>122,000 kg (2019)</w:t>
            </w:r>
          </w:p>
          <w:p>
            <w:pPr>
              <w:pStyle w:val="NormalinTable"/>
            </w:pPr>
            <w:r>
              <w:t>161,000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122,000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090938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0808 30 10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0.36 € / 100 kg</w:t>
            </w:r>
          </w:p>
        </w:tc>
        <!-- End Preferential Quota Duty Rate cell //-->
        <!-- Begin Quota Volume cell //-->
        <w:tc>
          <w:tcPr>
            <w:tcBorders>
              <w:top w:val="single" w:sz="12" w:space="0" w:color="000000" w:themeColor="background1" w:themeShade="00"/>
            </w:tcBorders>
          </w:tcPr>
          <w:tcPr>
            <w:vMerge w:val="restart"/>
          </w:tcPr>
          <w:p>
            <w:pPr>
              <w:pStyle w:val="NormalinTable"/>
            </w:pPr>
            <w:r>
              <w:t>122,000 kg (2019)</w:t>
            </w:r>
          </w:p>
          <w:p>
            <w:pPr>
              <w:pStyle w:val="NormalinTable"/>
            </w:pPr>
            <w:r>
              <w:t>161,000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122,000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0808 30 90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0808 40 00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090939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0809 10 00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20,000 kg (2019)</w:t>
            </w:r>
          </w:p>
          <w:p>
            <w:pPr>
              <w:pStyle w:val="NormalinTable"/>
            </w:pPr>
            <w:r>
              <w:t>27,000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20,000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090940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0809 29 00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61,000 kg (2019)</w:t>
            </w:r>
          </w:p>
          <w:p>
            <w:pPr>
              <w:pStyle w:val="NormalinTable"/>
            </w:pPr>
            <w:r>
              <w:t>81,000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61,000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090941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0809 40 05</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41,000 kg (2019)</w:t>
            </w:r>
          </w:p>
          <w:p>
            <w:pPr>
              <w:pStyle w:val="NormalinTable"/>
            </w:pPr>
            <w:r>
              <w:t>54,000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41,000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0809 40 90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090942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0810 20 10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4,000 kg (2019)</w:t>
            </w:r>
          </w:p>
          <w:p>
            <w:pPr>
              <w:pStyle w:val="NormalinTable"/>
            </w:pPr>
            <w:r>
              <w:t>5,000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4,000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090943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0810 20 90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4,000 kg (2019)</w:t>
            </w:r>
          </w:p>
          <w:p>
            <w:pPr>
              <w:pStyle w:val="NormalinTable"/>
            </w:pPr>
            <w:r>
              <w:t>5,000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4,000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090944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1106 30 10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200 kg (2019)</w:t>
            </w:r>
          </w:p>
          <w:p>
            <w:pPr>
              <w:pStyle w:val="NormalinTable"/>
            </w:pPr>
            <w:r>
              <w:t>270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090945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0710 10 00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122,000 kg (2019)</w:t>
            </w:r>
          </w:p>
          <w:p>
            <w:pPr>
              <w:pStyle w:val="NormalinTable"/>
            </w:pPr>
            <w:r>
              <w:t>161,000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122,000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2004 10 10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2004 10 99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2005 20 80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090946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0811 90 19 12</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20,000 kg (2019)</w:t>
            </w:r>
          </w:p>
          <w:p>
            <w:pPr>
              <w:pStyle w:val="NormalinTable"/>
            </w:pPr>
            <w:r>
              <w:t>27,000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20,000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0811 90 39 12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0811 90 80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2008 60 00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090948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0810 10 00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8,000 kg (2019)</w:t>
            </w:r>
          </w:p>
          <w:p>
            <w:pPr>
              <w:pStyle w:val="NormalinTable"/>
            </w:pPr>
            <w:r>
              <w:t>11,000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8,000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090950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0709 99 20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12,000 kg (2019)</w:t>
            </w:r>
          </w:p>
          <w:p>
            <w:pPr>
              <w:pStyle w:val="NormalinTable"/>
            </w:pPr>
            <w:r>
              <w:t>16,000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12,000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094155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0401 40 10 10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27,000 kg (2019)</w:t>
            </w:r>
          </w:p>
          <w:p>
            <w:pPr>
              <w:pStyle w:val="NormalinTable"/>
            </w:pPr>
            <w:r>
              <w:t>107,000 kg + </w:t>
            </w:r>
          </w:p>
        </w:tc>
        <!-- End Quota Volume cell //-->
        <!-- Begin Quota Open Date cell //-->
        <w:tc>
          <w:tcPr>
            <w:tcBorders>
              <w:top w:val="single" w:sz="12" w:space="0" w:color="000000" w:themeColor="background1" w:themeShade="00"/>
            </w:tcBorders>
          </w:tcPr>
          <w:tcPr>
            <w:vMerge w:val="restart"/>
          </w:tcPr>
          <w:p>
            <w:pPr>
              <w:pStyle w:val="NormalinTable"/>
            </w:pPr>
            <w:r>
              <w:t>01/07/2019</w:t>
            </w:r>
            <!--OPT//-->
            <w:r>
              <w:br/>
            </w:r>
            <!--OPT//-->
            <w:r>
              <w:t>01/07</w:t>
            </w:r>
          </w:p>
        </w:tc>
        <!-- End Quota Open Date cell //-->
        <!-- Begin Quota Close Date cell //-->
        <w:tc>
          <w:tcPr>
            <w:tcBorders>
              <w:top w:val="single" w:sz="12" w:space="0" w:color="000000" w:themeColor="background1" w:themeShade="00"/>
            </w:tcBorders>
          </w:tcPr>
          <w:tcPr>
            <w:vMerge w:val="restart"/>
          </w:tcPr>
          <w:p>
            <w:pPr>
              <w:pStyle w:val="NormalinTable"/>
            </w:pPr>
            <w:r>
              <w:t>30/06/2020</w:t>
            </w:r>
            <!--OPT//-->
            <w:r>
              <w:br/>
            </w:r>
            <!--OPT//-->
            <w:r>
              <w:t>30/06</w:t>
            </w:r>
          </w:p>
        </w:tc>
        <!-- End Quota Close Date cell //-->
        <!-- Begin 2019 Quota Volume cell //-->
        <!--
				<w:tc>
                    <w:tcPr>
                        <w:tcBorders>
                            <w:top w:val="single" w:sz="12" w:space="0" w:color="000000" w:themeColor="background1" w:themeShade="00"/>
                        </w:tcBorders>
                    </w:tcPr>
					<w:p>
						<w:pPr>
							<w:pStyle w:val="NormalinTable"/>
						</w:pPr>
						<w:r>
							<w:t>27,000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0401 40 90 10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0401 50 11 10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0401 50 19 10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0401 50 31 10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0401 50 39 10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0401 50 91 10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0401 50 99 10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0403 10 00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094202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0210 20 90 11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49,000 kg (2019)</w:t>
            </w:r>
          </w:p>
          <w:p>
            <w:pPr>
              <w:pStyle w:val="NormalinTable"/>
            </w:pPr>
            <w:r>
              <w:t>64,000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49,000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0210 20 90 15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094203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0102 29 41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187 head (2019)</w:t>
            </w:r>
          </w:p>
          <w:p>
            <w:pPr>
              <w:pStyle w:val="NormalinTable"/>
            </w:pPr>
            <w:r>
              <w:t>247 head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187 head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0102 29 49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0102 29 51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0102 29 59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0102 29 61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0102 29 69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0102 29 91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0102 29 99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0102 39 10 10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0102 90 91 10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bl>
    <w:p>
      <w:pPr>
        <w:pStyle w:val="Heading3"/>
      </w:pPr>
      <w:r>
        <w:t>Entry Price Goods (regulation 5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6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7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