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Bosnia and Herzegovina,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Bosnia and Herzegovina,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117.00 €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31/01</w:t>
            </w:r>
            <w:r>
              <w:tab/>
              <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3006 70 00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3207 40 85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3706 10 99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7806 00 80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8518 30 95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091528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2204 10 93</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(2019)</w:t>
            </w:r>
          </w:p>
          <w:p>
            <w:pPr>
              <w:pStyle w:val="NormalinTable"/>
            </w:pPr>
            <w:r>
              <w:t>1 l</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l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2204 10 94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2204 10 96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2204 10 98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091529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2204 22 10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(2019)</w:t>
            </w:r>
          </w:p>
          <w:p>
            <w:pPr>
              <w:pStyle w:val="NormalinTable"/>
            </w:pPr>
            <w:r>
              <w:t>1 l</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l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091530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2204 21 93 19</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(2019)</w:t>
            </w:r>
          </w:p>
          <w:p>
            <w:pPr>
              <w:pStyle w:val="NormalinTable"/>
            </w:pPr>
            <w:r>
              <w:t>1 l</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l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091594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0301 91 00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0302 11 00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0303 14 00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0304 52 00 10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0304 99 21 11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0304 99 21 12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0304 99 21 20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0305 10 00 10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0305 39 90 10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0305 43 00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0305 59 85 61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0305 69 80 61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091595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0301 93 00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0302 73 00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0303 25 00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0304 39 00 20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0304 51 00 10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0304 69 00 20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0304 93 90 10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0305 10 00 20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0305 31 00 10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0305 44 90 10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0305 52 00 10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0305 64 00 10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091596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0301 99 85 80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0302 85 10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0303 89 50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0304 49 90 60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0304 59 90 40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0304 89 90 30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0304 99 99 20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0305 10 00 30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0305 39 90 70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0305 49 80 40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0305 59 85 65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0305 69 80 65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091597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0301 99 85 22</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0302 84 10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0303 84 10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0304 49 90 70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0304 59 90 45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0304 89 90 40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0304 99 99 70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0305 10 00 40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0305 39 90 80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0305 49 80 50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0305 59 85 67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0305 69 80 67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091598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1604 13 11</w:t>
            </w:r>
          </w:p>
        </w:tc>
        <!-- End commodity code cell //-->
        <!-- Begin Preferential Quota Duty Rate cell //-->
        <w:tc>
          <w:tcPr>
            <w:tcBorders>
              <w:top w:val="single" w:sz="12" w:space="0" w:color="000000" w:themeColor="background1" w:themeShade="00"/>
            </w:tcBorders>
          </w:tcPr>
          <w:tcPr>
            <w:vMerge w:val="restart"/>
          </w:tcPr>
          <w:p>
            <w:pPr>
              <w:pStyle w:val="NormalinTable"/>
            </w:pPr>
            <w:r>
              <w:t>6.00%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1604 13 19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1604 20 50 10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1604 20 50 19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091599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1604 16 00</w:t>
            </w:r>
          </w:p>
        </w:tc>
        <!-- End commodity code cell //-->
        <!-- Begin Preferential Quota Duty Rate cell //-->
        <w:tc>
          <w:tcPr>
            <w:tcBorders>
              <w:top w:val="single" w:sz="12" w:space="0" w:color="000000" w:themeColor="background1" w:themeShade="00"/>
            </w:tcBorders>
          </w:tcPr>
          <w:tcPr>
            <w:vMerge w:val="restart"/>
          </w:tcPr>
          <w:p>
            <w:pPr>
              <w:pStyle w:val="NormalinTable"/>
            </w:pPr>
            <w:r>
              <w:t>12.50%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094325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1702 11 00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1702 19 00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1702 20 00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1702 40 00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1702 50 00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1702 60 00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094504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0102 29 51 10</w:t>
            </w:r>
          </w:p>
        </w:tc>
        <!-- End commodity code cell //-->
        <!-- Begin Preferential Quota Duty Rate cell //-->
        <w:tc>
          <w:tcPr>
            <w:tcBorders>
              <w:top w:val="single" w:sz="12" w:space="0" w:color="000000" w:themeColor="background1" w:themeShade="00"/>
            </w:tcBorders>
          </w:tcPr>
          <w:tcPr>
            <w:vMerge w:val="restart"/>
          </w:tcPr>
          <w:p>
            <w:pPr>
              <w:pStyle w:val="NormalinTable"/>
            </w:pPr>
            <w:r>
              <w:t>2.00% + 18.60 €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0102 29 59 11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0102 29 59 21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0102 29 59 31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0102 29 59 91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0102 29 91 10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0102 29 99 21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0102 29 99 91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0201 10 00 92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0201 10 00 94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0201 20 20 92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0201 20 20 94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0201 20 30 92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0201 20 30 94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0201 20 50 92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0201 20 50 94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