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Faroe Islands,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Faroe Islands,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72,000 kg (2019)</w:t>
            </w:r>
          </w:p>
          <w:p>
            <w:pPr>
              <w:pStyle w:val="NormalinTable"/>
            </w:pPr>
            <w:r>
              <w:t>95,000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0301 91 90 19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0305 53 90 10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0307 91 00 10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0307 92 00 10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1604 11 00 30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0306 14 90 10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0306 16 91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413,000 kg (2019)</w:t>
            </w:r>
          </w:p>
          <w:p>
            <w:pPr>
              <w:pStyle w:val="NormalinTable"/>
            </w:pPr>
            <w:r>
              <w:t>545,000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1605 40 00 20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1604 17 00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2309 90 10 21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2,067,000 kg (2019)</w:t>
            </w:r>
          </w:p>
          <w:p>
            <w:pPr>
              <w:pStyle w:val="NormalinTable"/>
            </w:pPr>
            <w:r>
              <w:t>2,724,000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