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Israel,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Israel,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6.40%</w:t>
            </w:r>
            <w:r>
              <w:br/>
            </w:r>
            <w:r>
              <w:t>01/04 to 15/10</w:t>
            </w:r>
            <w:r>
              <w:tab/>
              <w:t>4.80%</w:t>
            </w:r>
            <w:r>
              <w:br/>
            </w:r>
            <w:r>
              <w:t>16/10 to 31/12</w:t>
            </w:r>
            <w:r>
              <w:tab/>
              <w:t>6.40%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31/05</w:t>
            </w:r>
            <w:r>
              <w:tab/>
              <w:t>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30/04</w:t>
            </w:r>
            <w:r>
              <w:tab/>
              <w:t>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+ 14.20 €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0701 90 50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4,978,000 kg (2019)</w:t>
            </w:r>
          </w:p>
          <w:p>
            <w:pPr>
              <w:pStyle w:val="NormalinTable"/>
            </w:pPr>
            <w:r>
              <w:t>9,689,000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4,978,000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134,000 kg (2019)</w:t>
            </w:r>
          </w:p>
          <w:p>
            <w:pPr>
              <w:pStyle w:val="NormalinTable"/>
            </w:pPr>
            <w:r>
              <w:t>177,000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134,000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0709 60 10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1,783,000 kg (2019)</w:t>
            </w:r>
          </w:p>
          <w:p>
            <w:pPr>
              <w:pStyle w:val="NormalinTable"/>
            </w:pPr>
            <w:r>
              <w:t>2,349,000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1,783,000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0702 00 00 07</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2,894,000 kg (2019)</w:t>
            </w:r>
          </w:p>
          <w:p>
            <w:pPr>
              <w:pStyle w:val="NormalinTable"/>
            </w:pPr>
            <w:r>
              <w:t>3,814,000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2,894,000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0603 11 00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2,294,000 kg (2019)</w:t>
            </w:r>
          </w:p>
          <w:p>
            <w:pPr>
              <w:pStyle w:val="NormalinTable"/>
            </w:pPr>
            <w:r>
              <w:t>3,023,000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2,294,000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0805 10 22</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23,153,000 kg (2019)</w:t>
            </w:r>
          </w:p>
          <w:p>
            <w:pPr>
              <w:pStyle w:val="NormalinTable"/>
            </w:pPr>
            <w:r>
              <w:t>30,509,000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23,153,000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0805 10 28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0805 10 80 10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2009 11 11 91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3,618,000 kg (2019)</w:t>
            </w:r>
          </w:p>
          <w:p>
            <w:pPr>
              <w:pStyle w:val="NormalinTable"/>
            </w:pPr>
            <w:r>
              <w:t>4,767,000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3,618,000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2009 12 00 90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2009 19 98 91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2009 19 98 99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2009 11 11 11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2,199,000 kg (2019)</w:t>
            </w:r>
          </w:p>
          <w:p>
            <w:pPr>
              <w:pStyle w:val="NormalinTable"/>
            </w:pPr>
            <w:r>
              <w:t>2,898,000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2,199,000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2009 11 99 94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2009 19 98 19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091341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0603 15 00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109,000 kg (2019)</w:t>
            </w:r>
          </w:p>
          <w:p>
            <w:pPr>
              <w:pStyle w:val="NormalinTable"/>
            </w:pPr>
            <w:r>
              <w:t>1,068,000 kg</w:t>
            </w:r>
          </w:p>
        </w:tc>
        <!-- End Quota Volume cell //-->
        <!-- Begin Quota Open Date cell //-->
        <w:tc>
          <w:tcPr>
            <w:tcBorders>
              <w:top w:val="single" w:sz="12" w:space="0" w:color="000000" w:themeColor="background1" w:themeShade="00"/>
            </w:tcBorders>
          </w:tcPr>
          <w:tcPr>
            <w:vMerge w:val="restart"/>
          </w:tcPr>
          <w:p>
            <w:pPr>
              <w:pStyle w:val="NormalinTable"/>
            </w:pPr>
            <w:r>
              <w:t>01/11/2019</w:t>
            </w:r>
            <!--OPT//-->
            <w:r>
              <w:br/>
            </w:r>
            <!--OPT//-->
            <w:r>
              <w:t>01/11</w:t>
            </w:r>
          </w:p>
        </w:tc>
        <!-- End Quota Open Date cell //-->
        <!-- Begin Quota Close Date cell //-->
        <w:tc>
          <w:tcPr>
            <w:tcBorders>
              <w:top w:val="single" w:sz="12" w:space="0" w:color="000000" w:themeColor="background1" w:themeShade="00"/>
            </w:tcBorders>
          </w:tcPr>
          <w:tcPr>
            <w:vMerge w:val="restart"/>
          </w:tcPr>
          <w:p>
            <w:pPr>
              <w:pStyle w:val="NormalinTable"/>
            </w:pPr>
            <w:r>
              <w:t>31/10/2020</w:t>
            </w:r>
            <!--OPT//-->
            <w:r>
              <w:br/>
            </w:r>
            <!--OPT//-->
            <w:r>
              <w:t>15/04</w:t>
            </w:r>
          </w:p>
        </w:tc>
        <!-- End Quota Close Date cell //-->
        <!-- Begin 2019 Quota Volume cell //-->
        <!--
				<w:tc>
                    <w:tcPr>
                        <w:tcBorders>
                            <w:top w:val="single" w:sz="12" w:space="0" w:color="000000" w:themeColor="background1" w:themeShade="00"/>
                        </w:tcBorders>
                    </w:tcPr>
					<w:p>
						<w:pPr>
							<w:pStyle w:val="NormalinTable"/>
						</w:pPr>
						<w:r>
							<w:t>109,000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091342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0702 00 00 99</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517,000 kg (2019)</w:t>
            </w:r>
          </w:p>
          <w:p>
            <w:pPr>
              <w:pStyle w:val="NormalinTable"/>
            </w:pPr>
            <w:r>
              <w:t>681,000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517,000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091353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+ 6.58 € / 100 kg / net drained wt</w:t>
            </w:r>
          </w:p>
        </w:tc>
        <!-- End Preferential Quota Duty Rate cell //-->
        <!-- Begin Quota Volume cell //-->
        <w:tc>
          <w:tcPr>
            <w:tcBorders>
              <w:top w:val="single" w:sz="12" w:space="0" w:color="000000" w:themeColor="background1" w:themeShade="00"/>
            </w:tcBorders>
          </w:tcPr>
          <w:tcPr>
            <w:vMerge w:val="restart"/>
          </w:tcPr>
          <w:p>
            <w:pPr>
              <w:pStyle w:val="NormalinTable"/>
            </w:pPr>
            <w:r>
              <w:t>1,096,000 kg (2019)</w:t>
            </w:r>
          </w:p>
          <w:p>
            <w:pPr>
              <w:pStyle w:val="NormalinTable"/>
            </w:pPr>
            <w:r>
              <w:t>1,444,000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1,096,000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091354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0711 90 30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+ 6.58 € / 100 kg / net drained wt</w:t>
            </w:r>
          </w:p>
        </w:tc>
        <!-- End Preferential Quota Duty Rate cell //-->
        <!-- Begin Quota Volume cell //-->
        <w:tc>
          <w:tcPr>
            <w:tcBorders>
              <w:top w:val="single" w:sz="12" w:space="0" w:color="000000" w:themeColor="background1" w:themeShade="00"/>
            </w:tcBorders>
          </w:tcPr>
          <w:tcPr>
            <w:vMerge w:val="restart"/>
          </w:tcPr>
          <w:p>
            <w:pPr>
              <w:pStyle w:val="NormalinTable"/>
            </w:pPr>
            <w:r>
              <w:t>558,000 kg (2019)</w:t>
            </w:r>
          </w:p>
          <w:p>
            <w:pPr>
              <w:pStyle w:val="NormalinTable"/>
            </w:pPr>
            <w:r>
              <w:t>735,000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558,000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091361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0105 12 00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13,000 p/st (2019)</w:t>
            </w:r>
          </w:p>
          <w:p>
            <w:pPr>
              <w:pStyle w:val="NormalinTable"/>
            </w:pPr>
            <w:r>
              <w:t>17,695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13,000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091368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0707 00 05</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103,000 kg (2019)</w:t>
            </w:r>
          </w:p>
          <w:p>
            <w:pPr>
              <w:pStyle w:val="NormalinTable"/>
            </w:pPr>
            <w:r>
              <w:t>136,000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103,000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091369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0712 90 30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124,000 kg (2019)</w:t>
            </w:r>
          </w:p>
          <w:p>
            <w:pPr>
              <w:pStyle w:val="NormalinTable"/>
            </w:pPr>
            <w:r>
              <w:t>163,000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124,000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0805 21 90 11</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4,135,000 kg (2019)</w:t>
            </w:r>
          </w:p>
          <w:p>
            <w:pPr>
              <w:pStyle w:val="NormalinTable"/>
            </w:pPr>
            <w:r>
              <w:t>5,448,000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4,135,000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0805 22 00 20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0805 29 00 11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0805 21 90 11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1,976,000 kg (2019)</w:t>
            </w:r>
          </w:p>
          <w:p>
            <w:pPr>
              <w:pStyle w:val="NormalinTable"/>
            </w:pPr>
            <w:r>
              <w:t>2,136,000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15/03</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30/09</w:t>
            </w:r>
          </w:p>
        </w:tc>
        <!-- End Quota Close Date cell //-->
        <!-- Begin 2019 Quota Volume cell //-->
        <!--
				<w:tc>
                    <w:tcPr>
                        <w:tcBorders>
                            <w:top w:val="single" w:sz="12" w:space="0" w:color="000000" w:themeColor="background1" w:themeShade="00"/>
                        </w:tcBorders>
                    </w:tcPr>
					<w:p>
						<w:pPr>
							<w:pStyle w:val="NormalinTable"/>
						</w:pPr>
						<w:r>
							<w:t>1,976,000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0805 22 00 20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0805 29 00 11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1602 31 19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517,000 kg (2019)</w:t>
            </w:r>
          </w:p>
          <w:p>
            <w:pPr>
              <w:pStyle w:val="NormalinTable"/>
            </w:pPr>
            <w:r>
              <w:t>681,000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517,000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1602 31 80 10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1602 32 19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206,000 kg (2019)</w:t>
            </w:r>
          </w:p>
          <w:p>
            <w:pPr>
              <w:pStyle w:val="NormalinTable"/>
            </w:pPr>
            <w:r>
              <w:t>272,000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206,000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1602 32 30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1704 10 90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11,000 kg (2019)</w:t>
            </w:r>
          </w:p>
          <w:p>
            <w:pPr>
              <w:pStyle w:val="NormalinTable"/>
            </w:pPr>
            <w:r>
              <w:t>14,000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1806 10 20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+ 21.42 €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259,000 kg (2019)</w:t>
            </w:r>
          </w:p>
          <w:p>
            <w:pPr>
              <w:pStyle w:val="NormalinTable"/>
            </w:pPr>
            <w:r>
              <w:t>341,000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259,000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1905 20 30</w:t>
            </w:r>
          </w:p>
        </w:tc>
        <!-- End commodity code cell //-->
        <!-- Begin Preferential Quota Duty Rate cell //-->
        <w:tc>
          <w:tcPr>
            <w:tcBorders>
              <w:top w:val="single" w:sz="12" w:space="0" w:color="000000" w:themeColor="background1" w:themeShade="00"/>
            </w:tcBorders>
          </w:tcPr>
          <w:tcPr>
            <w:vMerge w:val="restart"/>
          </w:tcPr>
          <w:p>
            <w:pPr>
              <w:pStyle w:val="NormalinTable"/>
            </w:pPr>
            <w:r>
              <w:t>0.00% + 17.22 €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331,000 kg (2019)</w:t>
            </w:r>
          </w:p>
          <w:p>
            <w:pPr>
              <w:pStyle w:val="NormalinTable"/>
            </w:pPr>
            <w:r>
              <w:t>436,000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331,000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1905 20 90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2002 90 91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81,000 kg (2019)</w:t>
            </w:r>
          </w:p>
          <w:p>
            <w:pPr>
              <w:pStyle w:val="NormalinTable"/>
            </w:pPr>
            <w:r>
              <w:t>107,000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81,000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2002 90 99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2008 70 71 10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11,000 kg (2019)</w:t>
            </w:r>
          </w:p>
          <w:p>
            <w:pPr>
              <w:pStyle w:val="NormalinTable"/>
            </w:pPr>
            <w:r>
              <w:t>15,000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091379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2009 90 21 11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2,032,000 kg (2019)</w:t>
            </w:r>
          </w:p>
          <w:p>
            <w:pPr>
              <w:pStyle w:val="NormalinTable"/>
            </w:pPr>
            <w:r>
              <w:t>2,677,000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2,032,000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2009 90 51 30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2009 90 59 39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2009 90 96 20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2009 90 98 20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091380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92,000 l (2019)</w:t>
            </w:r>
          </w:p>
          <w:p>
            <w:pPr>
              <w:pStyle w:val="NormalinTable"/>
            </w:pPr>
            <w:r>
              <w:t>121,600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92,000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2204 30 10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2204 30 92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2204 30 94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2204 30 96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2204 30 98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091397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0807 19 00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847,000 kg (2019)</w:t>
            </w:r>
          </w:p>
          <w:p>
            <w:pPr>
              <w:pStyle w:val="NormalinTable"/>
            </w:pPr>
            <w:r>
              <w:t>4,086,000 kg</w:t>
            </w:r>
          </w:p>
        </w:tc>
        <!-- End Quota Volume cell //-->
        <!-- Begin Quota Open Date cell //-->
        <w:tc>
          <w:tcPr>
            <w:tcBorders>
              <w:top w:val="single" w:sz="12" w:space="0" w:color="000000" w:themeColor="background1" w:themeShade="00"/>
            </w:tcBorders>
          </w:tcPr>
          <w:tcPr>
            <w:vMerge w:val="restart"/>
          </w:tcPr>
          <w:p>
            <w:pPr>
              <w:pStyle w:val="NormalinTable"/>
            </w:pPr>
            <w:r>
              <w:t>01/08/2019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31/07/2020</w:t>
            </w:r>
            <!--OPT//-->
            <w:r>
              <w:br/>
            </w:r>
            <!--OPT//-->
            <w:r>
              <w:t>31/05</w:t>
            </w:r>
          </w:p>
        </w:tc>
        <!-- End Quota Close Date cell //-->
        <!-- Begin 2019 Quota Volume cell //-->
        <!--
				<w:tc>
                    <w:tcPr>
                        <w:tcBorders>
                            <w:top w:val="single" w:sz="12" w:space="0" w:color="000000" w:themeColor="background1" w:themeShade="00"/>
                        </w:tcBorders>
                    </w:tcPr>
					<w:p>
						<w:pPr>
							<w:pStyle w:val="NormalinTable"/>
						</w:pPr>
						<w:r>
							<w:t>847,000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091398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120,000 kg (2019)</w:t>
            </w:r>
          </w:p>
          <w:p>
            <w:pPr>
              <w:pStyle w:val="NormalinTable"/>
            </w:pPr>
            <w:r>
              <w:t>681,000 kg</w:t>
            </w:r>
          </w:p>
        </w:tc>
        <!-- End Quota Volume cell //-->
        <!-- Begin Quota Open Date cell //-->
        <w:tc>
          <w:tcPr>
            <w:tcBorders>
              <w:top w:val="single" w:sz="12" w:space="0" w:color="000000" w:themeColor="background1" w:themeShade="00"/>
            </w:tcBorders>
          </w:tcPr>
          <w:tcPr>
            <w:vMerge w:val="restart"/>
          </w:tcPr>
          <w:p>
            <w:pPr>
              <w:pStyle w:val="NormalinTable"/>
            </w:pPr>
            <w:r>
              <w:t>01/11/2019</w:t>
            </w:r>
            <!--OPT//-->
            <w:r>
              <w:br/>
            </w:r>
            <!--OPT//-->
            <w:r>
              <w:t>01/11</w:t>
            </w:r>
          </w:p>
        </w:tc>
        <!-- End Quota Open Date cell //-->
        <!-- Begin Quota Close Date cell //-->
        <w:tc>
          <w:tcPr>
            <w:tcBorders>
              <w:top w:val="single" w:sz="12" w:space="0" w:color="000000" w:themeColor="background1" w:themeShade="00"/>
            </w:tcBorders>
          </w:tcPr>
          <w:tcPr>
            <w:vMerge w:val="restart"/>
          </w:tcPr>
          <w:p>
            <w:pPr>
              <w:pStyle w:val="NormalinTable"/>
            </w:pPr>
            <w:r>
              <w:t>31/10/2020</w:t>
            </w:r>
            <!--OPT//-->
            <w:r>
              <w:br/>
            </w:r>
            <!--OPT//-->
            <w:r>
              <w:t>30/04</w:t>
            </w:r>
          </w:p>
        </w:tc>
        <!-- End Quota Close Date cell //-->
        <!-- Begin 2019 Quota Volume cell //-->
        <!--
				<w:tc>
                    <w:tcPr>
                        <w:tcBorders>
                            <w:top w:val="single" w:sz="12" w:space="0" w:color="000000" w:themeColor="background1" w:themeShade="00"/>
                        </w:tcBorders>
                    </w:tcPr>
					<w:p>
						<w:pPr>
							<w:pStyle w:val="NormalinTable"/>
						</w:pPr>
						<w:r>
							<w:t>120,000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091399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3505 20 00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26,000 kg (2019)</w:t>
            </w:r>
          </w:p>
          <w:p>
            <w:pPr>
              <w:pStyle w:val="NormalinTable"/>
            </w:pPr>
            <w:r>
              <w:t>34,000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26,000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