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Macedonia,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Macedonia,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117.00 €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3207 40 85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7806 00 80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091530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2204 21 93 19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(2019)</w:t>
            </w:r>
          </w:p>
          <w:p>
            <w:pPr>
              <w:pStyle w:val="NormalinTable"/>
            </w:pPr>
            <w:r>
              <w:t>1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091558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2204 10 93</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(2019)</w:t>
            </w:r>
          </w:p>
          <w:p>
            <w:pPr>
              <w:pStyle w:val="NormalinTable"/>
            </w:pPr>
            <w:r>
              <w:t>1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2204 10 94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2204 10 96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2204 10 98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091559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2204 22 10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(2019)</w:t>
            </w:r>
          </w:p>
          <w:p>
            <w:pPr>
              <w:pStyle w:val="NormalinTable"/>
            </w:pPr>
            <w:r>
              <w:t>1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094327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094505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0102 29 51 10</w:t>
            </w:r>
          </w:p>
        </w:tc>
        <!-- End commodity code cell //-->
        <!-- Begin Preferential Quota Duty Rate cell //-->
        <w:tc>
          <w:tcPr>
            <w:tcBorders>
              <w:top w:val="single" w:sz="12" w:space="0" w:color="000000" w:themeColor="background1" w:themeShade="00"/>
            </w:tcBorders>
          </w:tcPr>
          <w:tcPr>
            <w:vMerge w:val="restart"/>
          </w:tcPr>
          <w:p>
            <w:pPr>
              <w:pStyle w:val="NormalinTable"/>
            </w:pPr>
            <w:r>
              <w:t>2.00% + 18.60 €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0102 29 59 11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0102 29 59 21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0102 29 59 31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0102 29 59 91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0102 29 91 10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0102 29 99 21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0102 29 99 91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0201 10 00 92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0201 10 00 94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0201 20 20 92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0201 20 20 94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0201 20 30 92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0201 20 30 94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0201 20 50 92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0201 20 50 94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