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Mexico,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Mexico,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1,000 items</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15/05</w:t>
            </w:r>
            <w:r>
              <w:tab/>
              <w:t>0.00%</w:t>
            </w:r>
            <w:r>
              <w:br/>
            </w:r>
            <w:r>
              <w:t>16/05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14/07</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17.50 € / 1,000 items</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0407 19 19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8.60%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0803 90 10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70.00 € / tonne</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31/10</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01/06</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31/10</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30/11</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5.40%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091849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2.60%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7.20%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6.80%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091857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091859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2005 60 00</w:t>
            </w:r>
          </w:p>
        </w:tc>
        <!-- End commodity code cell //-->
        <!-- Begin Preferential Quota Duty Rate cell //-->
        <w:tc>
          <w:tcPr>
            <w:tcBorders>
              <w:top w:val="single" w:sz="12" w:space="0" w:color="000000" w:themeColor="background1" w:themeShade="00"/>
            </w:tcBorders>
          </w:tcPr>
          <w:tcPr>
            <w:vMerge w:val="restart"/>
          </w:tcPr>
          <w:p>
            <w:pPr>
              <w:pStyle w:val="NormalinTable"/>
            </w:pPr>
            <w:r>
              <w:t>7.00%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2008 97 51</w:t>
            </w:r>
          </w:p>
        </w:tc>
        <!-- End commodity code cell //-->
        <!-- Begin Preferential Quota Duty Rate cell //-->
        <w:tc>
          <w:tcPr>
            <w:tcBorders>
              <w:top w:val="single" w:sz="12" w:space="0" w:color="000000" w:themeColor="background1" w:themeShade="00"/>
            </w:tcBorders>
          </w:tcPr>
          <w:tcPr>
            <w:vMerge w:val="restart"/>
          </w:tcPr>
          <w:p>
            <w:pPr>
              <w:pStyle w:val="NormalinTable"/>
            </w:pPr>
            <w:r>
              <w:t>3.70%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2008 97 74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2008 97 98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091863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15.00% + 10.30 €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091865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2009 11 99 11</w:t>
            </w:r>
          </w:p>
        </w:tc>
        <!-- End commodity code cell //-->
        <!-- Begin Preferential Quota Duty Rate cell //-->
        <w:tc>
          <w:tcPr>
            <w:tcBorders>
              <w:top w:val="single" w:sz="12" w:space="0" w:color="000000" w:themeColor="background1" w:themeShade="00"/>
            </w:tcBorders>
          </w:tcPr>
          <w:tcPr>
            <w:vMerge w:val="restart"/>
          </w:tcPr>
          <w:p>
            <w:pPr>
              <w:pStyle w:val="NormalinTable"/>
            </w:pPr>
            <w:r>
              <w:t>2.90%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091867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2009 41 92 10</w:t>
            </w:r>
          </w:p>
        </w:tc>
        <!-- End commodity code cell //-->
        <!-- Begin Preferential Quota Duty Rate cell //-->
        <w:tc>
          <w:tcPr>
            <w:tcBorders>
              <w:top w:val="single" w:sz="12" w:space="0" w:color="000000" w:themeColor="background1" w:themeShade="00"/>
            </w:tcBorders>
          </w:tcPr>
          <w:tcPr>
            <w:vMerge w:val="restart"/>
          </w:tcPr>
          <w:p>
            <w:pPr>
              <w:pStyle w:val="NormalinTable"/>
            </w:pPr>
            <w:r>
              <w:t>5.80%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2009 41 92 20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2009 41 92 30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0408 11 80</w:t>
            </w:r>
          </w:p>
        </w:tc>
        <!-- End commodity code cell //-->
        <!-- Begin Preferential Quota Duty Rate cell //-->
        <w:tc>
          <w:tcPr>
            <w:tcBorders>
              <w:top w:val="single" w:sz="12" w:space="0" w:color="000000" w:themeColor="background1" w:themeShade="00"/>
            </w:tcBorders>
          </w:tcPr>
          <w:tcPr>
            <w:vMerge w:val="restart"/>
          </w:tcPr>
          <w:p>
            <w:pPr>
              <w:pStyle w:val="NormalinTable"/>
            </w:pPr>
            <w:r>
              <w:t>71.10 €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0408 19 81</w:t>
            </w:r>
          </w:p>
        </w:tc>
        <!-- End commodity code cell //-->
        <!-- Begin Preferential Quota Duty Rate cell //-->
        <w:tc>
          <w:tcPr>
            <w:tcBorders>
              <w:top w:val="single" w:sz="12" w:space="0" w:color="000000" w:themeColor="background1" w:themeShade="00"/>
            </w:tcBorders>
          </w:tcPr>
          <w:tcPr>
            <w:vMerge w:val="restart"/>
          </w:tcPr>
          <w:p>
            <w:pPr>
              <w:pStyle w:val="NormalinTable"/>
            </w:pPr>
            <w:r>
              <w:t>31.00 €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0408 19 89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0408 91 80</w:t>
            </w:r>
          </w:p>
        </w:tc>
        <!-- End commodity code cell //-->
        <!-- Begin Preferential Quota Duty Rate cell //-->
        <w:tc>
          <w:tcPr>
            <w:tcBorders>
              <w:top w:val="single" w:sz="12" w:space="0" w:color="000000" w:themeColor="background1" w:themeShade="00"/>
            </w:tcBorders>
          </w:tcPr>
          <w:tcPr>
            <w:vMerge w:val="restart"/>
          </w:tcPr>
          <w:p>
            <w:pPr>
              <w:pStyle w:val="NormalinTable"/>
            </w:pPr>
            <w:r>
              <w:t>68.70 €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0408 99 80</w:t>
            </w:r>
          </w:p>
        </w:tc>
        <!-- End commodity code cell //-->
        <!-- Begin Preferential Quota Duty Rate cell //-->
        <w:tc>
          <w:tcPr>
            <w:tcBorders>
              <w:top w:val="single" w:sz="12" w:space="0" w:color="000000" w:themeColor="background1" w:themeShade="00"/>
            </w:tcBorders>
          </w:tcPr>
          <w:tcPr>
            <w:vMerge w:val="restart"/>
          </w:tcPr>
          <w:p>
            <w:pPr>
              <w:pStyle w:val="NormalinTable"/>
            </w:pPr>
            <w:r>
              <w:t>17.60 €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091883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3502 11 90 10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091885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3502 11 90 90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091887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3502 19 90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