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Swiss Confederation, version 1.0, dated 12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the Swiss Confederation, of the other part, signed on 12/02/2019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0210 19 50 10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77,000 kg (2019)</w:t>
            </w:r>
          </w:p>
          <w:p>
            <w:pPr>
              <w:pStyle w:val="NormalinTable"/>
            </w:pPr>
            <w:r>
              <w:t>102,000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0210 19 81 10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0210 19 81 20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1602 49 19 10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163,000 kg (2019)</w:t>
            </w:r>
          </w:p>
          <w:p>
            <w:pPr>
              <w:pStyle w:val="NormalinTable"/>
            </w:pPr>
            <w:r>
              <w:t>215,000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163,000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0703 10 19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204,000 kg (2019)</w:t>
            </w:r>
          </w:p>
          <w:p>
            <w:pPr>
              <w:pStyle w:val="NormalinTable"/>
            </w:pPr>
            <w:r>
              <w:t>269,000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0703 90 00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224,000 kg (2019)</w:t>
            </w:r>
          </w:p>
          <w:p>
            <w:pPr>
              <w:pStyle w:val="NormalinTable"/>
            </w:pPr>
            <w:r>
              <w:t>295,000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0704 90 00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0705 11 00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0705 19 00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0705 21 00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204,000 kg (2019)</w:t>
            </w:r>
          </w:p>
          <w:p>
            <w:pPr>
              <w:pStyle w:val="NormalinTable"/>
            </w:pPr>
            <w:r>
              <w:t>269,000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0706 90 10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0706 90 90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0708 20 00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0709 70 00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0709 99 50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0709 93 10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0709 99 90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0808 10 80 90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0808 30 10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0.36 €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0808 30 90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0808 40 00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0809 29 00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61,000 kg (2019)</w:t>
            </w:r>
          </w:p>
          <w:p>
            <w:pPr>
              <w:pStyle w:val="NormalinTable"/>
            </w:pPr>
            <w:r>
              <w:t>81,000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0809 40 05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0809 40 90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4,000 kg (2019)</w:t>
            </w:r>
          </w:p>
          <w:p>
            <w:pPr>
              <w:pStyle w:val="NormalinTable"/>
            </w:pPr>
            <w:r>
              <w:t>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0810 20 90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4,000 kg (2019)</w:t>
            </w:r>
          </w:p>
          <w:p>
            <w:pPr>
              <w:pStyle w:val="NormalinTable"/>
            </w:pPr>
            <w:r>
              <w:t>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1106 30 10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 kg (2019)</w:t>
            </w:r>
          </w:p>
          <w:p>
            <w:pPr>
              <w:pStyle w:val="NormalinTable"/>
            </w:pPr>
            <w:r>
              <w:t>270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2005 20 80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0811 90 19 12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0811 90 39 12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8,000 kg (2019)</w:t>
            </w:r>
          </w:p>
          <w:p>
            <w:pPr>
              <w:pStyle w:val="NormalinTable"/>
            </w:pPr>
            <w:r>
              <w:t>11,000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0709 99 20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12,000 kg (2019)</w:t>
            </w:r>
          </w:p>
          <w:p>
            <w:pPr>
              <w:pStyle w:val="NormalinTable"/>
            </w:pPr>
            <w:r>
              <w:t>16,000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0401 40 10 10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27,000 kg (2019)</w:t>
            </w:r>
          </w:p>
          <w:p>
            <w:pPr>
              <w:pStyle w:val="NormalinTable"/>
            </w:pPr>
            <w:r>
              <w:t>107,000 kg</w:t>
            </w:r>
          </w:p>
        </w:tc>
        <!-- End Quota Volume cell //-->
        <!-- Begin Quota Open Date cell //-->
        <w:tc>
          <w:tcPr>
            <w:tcBorders>
              <w:top w:val="single" w:sz="12" w:space="0" w:color="000000" w:themeColor="background1" w:themeShade="00"/>
            </w:tcBorders>
          </w:tcPr>
          <w:tcPr>
            <w:vMerge w:val="restart"/>
          </w:tcPr>
          <w:p>
            <w:pPr>
              <w:pStyle w:val="NormalinTable"/>
            </w:pPr>
            <w:r>
              <w:t>01/07/2019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30/06/2020</w:t>
            </w:r>
            <!--OPT//-->
            <w:r>
              <w:br/>
            </w:r>
            <!--OPT//-->
            <w:r>
              <w:t>30/06</w:t>
            </w:r>
          </w:p>
        </w:tc>
        <!-- End Quota Close Date cell //-->
        <!-- Begin 2019 Quota Volume cell //-->
        <!--
				<w:tc>
                    <w:tcPr>
                        <w:tcBorders>
                            <w:top w:val="single" w:sz="12" w:space="0" w:color="000000" w:themeColor="background1" w:themeShade="00"/>
                        </w:tcBorders>
                    </w:tcPr>
					<w:p>
						<w:pPr>
							<w:pStyle w:val="NormalinTable"/>
						</w:pPr>
						<w:r>
							<w:t>27,000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0401 40 90 10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0401 50 11 10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0401 50 31 10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0401 50 99 10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0210 20 90 11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49,000 kg (2019)</w:t>
            </w:r>
          </w:p>
          <w:p>
            <w:pPr>
              <w:pStyle w:val="NormalinTable"/>
            </w:pPr>
            <w:r>
              <w:t>64,000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0102 29 41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187 head (2019)</w:t>
            </w:r>
          </w:p>
          <w:p>
            <w:pPr>
              <w:pStyle w:val="NormalinTable"/>
            </w:pPr>
            <w:r>
              <w:t>247 head</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187 head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0102 39 10 10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0102 90 91 10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