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Turkey,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Turkey,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+ 176.80 €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+ 176.80 €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+ 212.20 €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+ 265.20 €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+ 303.40 €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+ 176.80 €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+ 176.80 €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+ 221.10 €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+ 265.30 €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+ 221.10 €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0202 30 50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+ 221.10 €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+ 304.10 €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+ 119.90 €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+ 188.50 €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+ 222.70 €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+ 222.70 €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+ 311.80 €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+ 90.20 €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+ 141.70 €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+ 167.50 €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+ 167.50 €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+ 234.50 €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+ 119.90 €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+ 188.50 €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+ 222.70 €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+ 222.70 €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+ 311.80 €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+ 90.20 €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+ 141.70 €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+ 167.50 €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+ 167.50 €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+ 234.50 €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+ 303.40 €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+ 304.10 €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+ 265.20 €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+ 303.40 €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+ 303.40 €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+ 303.40 €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+ 303.40 €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67.19 €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67.19 €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67.19 €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67.19 €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67.19 €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31/03</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15/02 to 15/05</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15/02 to 15/05</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01/11 to 30/04</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30/04</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15/01 to 30/04</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30/04</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01/12 to 29/02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15/02 to 15/05</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0709 99 90 72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31/01</w:t>
            </w:r>
            <w:r>
              <w:tab/>
              <w:t/>
            </w:r>
            <w:r>
              <w:br/>
            </w:r>
            <w:r>
              <w:t>01/12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01/04 to 15/06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01/11 to 31/05</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1107 10 11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170.43 €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1107 10 19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127.43 €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166.43 €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1107 10 99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124.43 €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145.43 €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110.34 €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112.05 €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112.05 €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127.87 €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99.18 €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152.28 €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+ 222.00 €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2207 10 00 12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2207 10 00 17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2207 10 00 19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2207 20 00 12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2207 20 00 17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2207 20 00 19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090202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0701 90 00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090204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0806 10 10 90</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 + Specific 100%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01/05</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14/11</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090206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1509 10 20</w:t>
            </w:r>
          </w:p>
        </w:tc>
        <!-- End commodity code cell //-->
        <!-- Begin Preferential Quota Duty Rate cell //-->
        <w:tc>
          <w:tcPr>
            <w:tcBorders>
              <w:top w:val="single" w:sz="12" w:space="0" w:color="000000" w:themeColor="background1" w:themeShade="00"/>
            </w:tcBorders>
          </w:tcPr>
          <w:tcPr>
            <w:vMerge w:val="restart"/>
          </w:tcPr>
          <w:p>
            <w:pPr>
              <w:pStyle w:val="NormalinTable"/>
            </w:pPr>
            <w:r>
              <w:t>7.50%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1509 10 80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090208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2007 10 10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 + 1.38 € / 100 kg</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2007 91 30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090211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0703 10 11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16/05</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14/02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0703 10 19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090212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2008 30 19</w:t>
            </w:r>
          </w:p>
        </w:tc>
        <!-- End commodity code cell //-->
        <!-- Begin Preferential Quota Duty Rate cell //-->
        <w:tc>
          <w:tcPr>
            <w:tcBorders>
              <w:top w:val="single" w:sz="12" w:space="0" w:color="000000" w:themeColor="background1" w:themeShade="00"/>
            </w:tcBorders>
          </w:tcPr>
          <w:tcPr>
            <w:vMerge w:val="restart"/>
          </w:tcPr>
          <w:p>
            <w:pPr>
              <w:pStyle w:val="NormalinTable"/>
            </w:pPr>
            <w:r>
              <w:t>0.00% + 4.20 € / 100 kg</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2008 50 19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2008 50 51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2008 50 92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2008 50 98 11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2008 50 98 13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2008 50 98 15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2008 50 98 19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2008 60 19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2008 70 19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2008 70 51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2008 80 19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090213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0709 30 00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01/05</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14/01</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090214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2009 11 11</w:t>
            </w:r>
          </w:p>
        </w:tc>
        <!-- End commodity code cell //-->
        <!-- Begin Preferential Quota Duty Rate cell //-->
        <w:tc>
          <w:tcPr>
            <w:tcBorders>
              <w:top w:val="single" w:sz="12" w:space="0" w:color="000000" w:themeColor="background1" w:themeShade="00"/>
            </w:tcBorders>
          </w:tcPr>
          <w:tcPr>
            <w:vMerge w:val="restart"/>
          </w:tcPr>
          <w:p>
            <w:pPr>
              <w:pStyle w:val="NormalinTable"/>
            </w:pPr>
            <w:r>
              <w:t>0.00% + 6.79 € / 100 kg</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2009 61 90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2009 69 11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2009 69 79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2009 69 90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2009 89 86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090215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0709 93 10</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 + Specific 100%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30/11</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090219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0811 10 11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0811 20 11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0811 90 19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090221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2002 10 00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2002 90 11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2002 90 19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090223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2007 91 30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090225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2007 99 39</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090227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0204 10 00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0204 21 00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0204 22 00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0204 30 00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0204 41 00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0204 42 00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0204 50 13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0204 50 53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090243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0406 90 29</w:t>
            </w:r>
          </w:p>
        </w:tc>
        <!-- End commodity code cell //-->
        <!-- Begin Preferential Quota Duty Rate cell //-->
        <w:tc>
          <w:tcPr>
            <w:tcBorders>
              <w:top w:val="single" w:sz="12" w:space="0" w:color="000000" w:themeColor="background1" w:themeShade="00"/>
            </w:tcBorders>
          </w:tcPr>
          <w:tcPr>
            <w:vMerge w:val="restart"/>
          </w:tcPr>
          <w:p>
            <w:pPr>
              <w:pStyle w:val="NormalinTable"/>
            </w:pPr>
            <w:r>
              <w:t>0.00 € / 100 kg</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0406 90 86 20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0406 90 89 10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0406 90 92 10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090244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0207 25 10</w:t>
            </w:r>
          </w:p>
        </w:tc>
        <!-- End commodity code cell //-->
        <!-- Begin Preferential Quota Duty Rate cell //-->
        <w:tc>
          <w:tcPr>
            <w:tcBorders>
              <w:top w:val="single" w:sz="12" w:space="0" w:color="000000" w:themeColor="background1" w:themeShade="00"/>
            </w:tcBorders>
          </w:tcPr>
          <w:tcPr>
            <w:vMerge w:val="restart"/>
          </w:tcPr>
          <w:p>
            <w:pPr>
              <w:pStyle w:val="NormalinTable"/>
            </w:pPr>
            <w:r>
              <w:t>170.00 € / tonne</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0207 25 90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092131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0204 23 00 11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0204 23 00 91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0204 43 10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0204 50 39 10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0204 50 79 10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092132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0204 23 00 19</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0204 23 00 99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0204 43 90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0204 50 39 90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0204 50 79 90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