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Waters, including mineral waters and aerated waters, containing added sugar or other sweetening matter or flavoured, and other non-alcoholic beverages, not including fruit or vegetable juices of heading 2009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Sparkling wine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With a protected designation of origin (PDO)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With a protected geographical indication (PGI)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Other varietal wines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White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White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White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White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White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White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White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White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White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2204 29 98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Other grape must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Vermouth and other wine of fresh grapes flavoured with plants or aromatic substances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Other fermented beverages (for example, cider, perry, mead, saké); mixtures of fermented beverages and mixtures of fermented beverages and non-alcoholic beverages, not elsewhere specified or included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Undenatured ethyl alcohol of an alcoholic strength by volume of 80 % vol or higher; ethyl alcohol and other spirits, denatured, of any strength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Undenatured ethyl alcohol of an alcoholic strength by volume of less than 80 % vol; spirits, liqueurs and other spirituous beverages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Vinegar and substitutes for vinegar obtained from acetic acid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