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El Salvador,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El Salvador,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01/05 to 20/05</w:t>
            </w:r>
            <w:r>
              <w:tab/>
              <w:t>0.00% MIN 2.400 € / 100 kg</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7607 20 00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6102 20 00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6102 30 00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6104 44 00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6104 62 00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6104 63 00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6202 12 00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6202 13 00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6202 92 00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097089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6202 93 00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6207 19 00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6207 21 00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6207 22 00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6207 91 00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6207 99 00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097099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6208 21 00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6208 91 00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6208 92 00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Central America - El Salvador, version 1.0, dated 5 February 2019</dc:title>
  <dc:subject/>
  <dc:creator>Department for International Trade - Trade Policy Group</dc:creator>
  <cp:keywords>El Salvador</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