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Jordan,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Jordan, of the other part, signed on 05/02/2019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0511 99 00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01/01 to 31/05</w:t>
            </w:r>
            <w:r>
              <w:tab/>
              <w:t>3.40%</w:t>
            </w:r>
            <w:r>
              <w:br/>
            </w:r>
            <w:r>
              <w:t>01/06 to 31/10</w:t>
            </w:r>
            <w:r>
              <w:tab/>
              <w:t>4.80%</w:t>
            </w:r>
            <w:r>
              <w:br/>
            </w:r>
            <w:r>
              <w:t>01/11 to 31/12</w:t>
            </w:r>
            <w:r>
              <w:tab/>
              <w:t>3.40%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1704 90 99 99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1806 90 90 99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18.70% + SD)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1905 90 80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CAD - 0.00% + (AC MAX 20.70% + FD) 100%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091152</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0603 11 00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1,240,000 kg (2019)</w:t>
            </w:r>
          </w:p>
          <w:p>
            <w:pPr>
              <w:pStyle w:val="NormalinTable"/>
            </w:pPr>
            <w:r>
              <w:t>1,634,400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0603 12 00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0603 13 00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0603 14 00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0603 15 00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0603 19 00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091166</w:t>
            </w:r>
          </w:p>
        </w:tc>
        <!-- End quota number cell //-->
        <!-- Begin origin quota cell //-->
        <w:tc>
          <w:tcPr>
            <w:tcBorders>
              <w:top w:val="single" w:sz="12" w:space="0" w:color="000000" w:themeColor="background1" w:themeShade="00"/>
            </w:tcBorders>
          </w:tcPr>
          <w:tcPr>
            <w:vMerge w:val="restart"/>
          </w:tcPr>
          <w:p>
            <w:pPr>
              <w:pStyle w:val="NormalinTable"/>
            </w:pPr>
            <w:r>
              <w:t/>
            </w:r>
          </w:p>
        </w:tc>
        <!-- End origin quota cell //-->
        <!-- Begin commodity code cell //-->
        <w:tc>
          <w:tcPr>
            <w:tcBorders>
              <w:top w:val="single" w:sz="12" w:space="0" w:color="000000" w:themeColor="background1" w:themeShade="00"/>
            </w:tcBorders>
          </w:tcPr>
          <w:p>
            <w:pPr>
              <w:pStyle w:val="NormalinTable"/>
            </w:pPr>
            <w:r>
              <w:t>1509 10 00</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1,240,000 kg (2019)</w:t>
            </w:r>
          </w:p>
          <w:p>
            <w:pPr>
              <w:pStyle w:val="NormalinTable"/>
            </w:pPr>
            <w:r>
              <w:t>1,634,400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1,240,000 kg (2019)</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Jordan, version 1.0, dated 5 February 2019</dc:title>
  <dc:subject/>
  <dc:creator>Department for International Trade - Trade Policy Group</dc:creator>
  <cp:keywords>Jordan</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