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Morocco, version 1.0, dated 2 March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Morocco, of the other part, signed on 2/03/2019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14/05</w:t>
            </w:r>
            <w:r>
              <w:tab/>
              <w:t>Entry Price - 39.77% + Specific 100%</w:t>
            </w:r>
            <w:r>
              <w:br/>
            </w:r>
            <w:r>
              <w:t>15/05 to 31/10</w:t>
            </w:r>
            <w:r>
              <w:tab/>
              <w:t>Entry Price - 39.58% + Specific 100%</w:t>
            </w:r>
            <w:r>
              <w:br/>
            </w:r>
            <w:r>
              <w:t>01/11 to 31/12</w:t>
            </w:r>
            <w:r>
              <w:tab/>
              <w:t>Entry Price - 39.77%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01/06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01/06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01/06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01/06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Entry Price - 0.00% + Specific 100%</w:t>
            </w:r>
            <w:r>
              <w:br/>
            </w:r>
            <w:r>
              <w:t>01/07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21/04 to 31/05</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- 20.00% + Specific 100%</w:t>
            </w:r>
            <w:r>
              <w:br/>
            </w:r>
            <w:r>
              <w:t>01/03 to 31/10</w:t>
            </w:r>
            <w:r>
              <w:tab/>
              <w:t>0.00%</w:t>
            </w:r>
            <w:r>
              <w:br/>
            </w:r>
            <w:r>
              <w:t>01/11 to 31/12</w:t>
            </w:r>
            <w:r>
              <w:tab/>
              <w:t>Entry Price - 20.00%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0.00%</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20/07</w:t>
            </w:r>
            <w:r>
              <w:tab/>
              <w:t>0.00%</w:t>
            </w:r>
            <w:r>
              <w:br/>
            </w:r>
            <w:r>
              <w:t>21/07 to 20/11</w:t>
            </w:r>
            <w:r>
              <w:tab/>
              <w:t>Entry Price - 0.00% + Specific 100%</w:t>
            </w:r>
            <w:r>
              <w:br/>
            </w:r>
            <w:r>
              <w:t>21/11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Entry Price - 0.00% + Specific 100%</w:t>
            </w:r>
            <w:r>
              <w:br/>
            </w:r>
            <w:r>
              <w:t>01/05 to 30/06</w:t>
            </w:r>
            <w:r>
              <w:tab/>
              <w:t>0.00%</w:t>
            </w:r>
            <w:r>
              <w:br/>
            </w:r>
            <w:r>
              <w:t>01/07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0.00%</w:t>
            </w:r>
            <w:r>
              <w:br/>
            </w:r>
            <w:r>
              <w:t>01/06 to 31/07</w:t>
            </w:r>
            <w:r>
              <w:tab/>
              <w:t>Entry Price - 0.00% + Specific 100%</w:t>
            </w:r>
            <w:r>
              <w:br/>
            </w: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20/05</w:t>
            </w:r>
            <w:r>
              <w:tab/>
              <w:t>0.00%</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20/05</w:t>
            </w:r>
            <w:r>
              <w:tab/>
              <w:t>0.00%</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11/06 to 30/09</w:t>
            </w:r>
            <w:r>
              <w:tab/>
              <w:t>Entry Price - 0.00% + Specific 100%</w:t>
            </w:r>
            <w:r>
              <w:br/>
            </w:r>
            <w:r>
              <w:t>01/10 to 10/06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01/11 to 31/03</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+ 35.500 €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8"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7"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1"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8"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7"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1"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155,000 kg (2019)</w:t>
            </w:r>
          </w:p>
          <!--19VEnd//-->
          <w:p>
            <w:pPr>
              <w:pStyle w:val="NormalinTable"/>
            </w:pPr>
            <w:r>
              <w:t>204,000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155,000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0810 10 00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6.40% MIN 1.200 €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136,000 kg</w:t>
            </w:r>
          </w:p>
        </w:tc>
        <!-- End Quota Volume cell //-->
        <!-- Begin Quota Open Date cell //-->
        <w:tc>
          <w:tcPr>
            <w:tcBorders>
              <w:top w:val="single" w:sz="12" w:space="0" w:color="000000" w:themeColor="background1" w:themeShade="00"/>
            </w:tcBorders>
          </w:tcPr>
          <w:tcPr>
            <w:vMerge w:val="restart"/>
          </w:tcPr>
          <w:p>
            <w:pPr>
              <w:pStyle w:val="NormalinTable"/>
            </w:pPr>
            <w:r>
              <w:t/>
            </w:r>
            <w:r>
              <w:t>01/05</w:t>
            </w:r>
          </w:p>
        </w:tc>
        <!-- End Quota Open Date cell //-->
        <!-- Begin Quota Close Date cell //-->
        <w:tc>
          <w:tcPr>
            <w:tcBorders>
              <w:top w:val="single" w:sz="12" w:space="0" w:color="000000" w:themeColor="background1" w:themeShade="00"/>
            </w:tcBorders>
          </w:tcPr>
          <w:tcPr>
            <w:vMerge w:val="restart"/>
          </w:tcPr>
          <w:p>
            <w:pPr>
              <w:pStyle w:val="NormalinTable"/>
            </w:pPr>
            <w:r>
              <w:t/>
            </w:r>
            <w:r>
              <w:t>31/05</w:t>
            </w:r>
          </w:p>
        </w:tc>
        <!-- End Quota Close Date cell //-->
        <!-- Begin 2019 Quota Volume cell //-->
        <!--
				<w:tc>
                    <w:tcPr>
                        <w:tcBorders>
                            <w:top w:val="single" w:sz="12" w:space="0" w:color="000000" w:themeColor="background1" w:themeShade="00"/>
                        </w:tcBorders>
                    </w:tcPr>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1702 50 00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62,000 kg (2019)</w:t>
            </w:r>
          </w:p>
          <!--19VEnd//-->
          <w:p>
            <w:pPr>
              <w:pStyle w:val="NormalinTable"/>
            </w:pPr>
            <w:r>
              <w:t>82,000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62,000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0702 00 00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- 0.00% + Specific 100%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9,075,000 kg (2019)</w:t>
            </w:r>
          </w:p>
          <!--19VEnd//-->
          <w:p>
            <w:pPr>
              <w:pStyle w:val="NormalinTable"/>
            </w:pPr>
            <w:r>
              <w:t>35,003,000 kg</w:t>
            </w:r>
          </w:p>
        </w:tc>
        <!-- End Quota Volume cell //-->
        <!-- Begin Quota Open Date cell //-->
        <w:tc>
          <w:tcPr>
            <w:tcBorders>
              <w:top w:val="single" w:sz="12" w:space="0" w:color="000000" w:themeColor="background1" w:themeShade="00"/>
            </w:tcBorders>
          </w:tcPr>
          <w:tcPr>
            <w:vMerge w:val="restart"/>
          </w:tcPr>
          <w:p>
            <w:pPr>
              <w:pStyle w:val="NormalinTable"/>
            </w:pPr>
            <w:r>
              <w:t>01/10/2019</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31/05/2020</w:t>
            </w:r>
            <!--OPT//-->
            <w:r>
              <w:br/>
            </w:r>
            <!--OPT//-->
            <w:r>
              <w:t>31/05</w:t>
            </w:r>
          </w:p>
        </w:tc>
        <!-- End Quota Close Date cell //-->
        <!-- Begin 2019 Quota Volume cell //-->
        <!--
				<w:tc>
                    <w:tcPr>
                        <w:tcBorders>
                            <w:top w:val="single" w:sz="12" w:space="0" w:color="000000" w:themeColor="background1" w:themeShade="00"/>
                        </w:tcBorders>
                    </w:tcPr>
					<w:p>
						<w:pPr>
							<w:pStyle w:val="NormalinTable"/>
						</w:pPr>
						<w:r>
							<w:t>9,075,000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091118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0810 10 00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490,000 kg</w:t>
            </w:r>
          </w:p>
        </w:tc>
        <!-- End Quota Volume cell //-->
        <!-- Begin Quota Open Date cell //-->
        <w:tc>
          <w:tcPr>
            <w:tcBorders>
              <w:top w:val="single" w:sz="12" w:space="0" w:color="000000" w:themeColor="background1" w:themeShade="00"/>
            </w:tcBorders>
          </w:tcPr>
          <w:tcPr>
            <w:vMerge w:val="restart"/>
          </w:tcPr>
          <w:p>
            <w:pPr>
              <w:pStyle w:val="NormalinTable"/>
            </w:pPr>
            <w:r>
              <w:t/>
            </w:r>
            <w:r>
              <w:t>01/04</w:t>
            </w:r>
          </w:p>
        </w:tc>
        <!-- End Quota Open Date cell //-->
        <!-- Begin Quota Close Date cell //-->
        <w:tc>
          <w:tcPr>
            <w:tcBorders>
              <w:top w:val="single" w:sz="12" w:space="0" w:color="000000" w:themeColor="background1" w:themeShade="00"/>
            </w:tcBorders>
          </w:tcPr>
          <w:tcPr>
            <w:vMerge w:val="restart"/>
          </w:tcPr>
          <w:p>
            <w:pPr>
              <w:pStyle w:val="NormalinTable"/>
            </w:pPr>
            <w:r>
              <w:t/>
            </w:r>
            <w:r>
              <w:t>30/04</w:t>
            </w:r>
          </w:p>
        </w:tc>
        <!-- End Quota Close Date cell //-->
        <!-- Begin 2019 Quota Volume cell //-->
        <!--
				<w:tc>
                    <w:tcPr>
                        <w:tcBorders>
                            <w:top w:val="single" w:sz="12" w:space="0" w:color="000000" w:themeColor="background1" w:themeShade="00"/>
                        </w:tcBorders>
                    </w:tcPr>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0805 22 00 20</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- 0.00% + Specific 100%</w:t>
            </w:r>
          </w:p>
        </w:tc>
        <!-- End Preferential Quota Duty Rate cell //-->
        <!-- Begin Quota Volume cell //-->
        <w:tc>
          <w:tcPr>
            <w:tcBorders>
              <w:top w:val="single" w:sz="12" w:space="0" w:color="000000" w:themeColor="background1" w:themeShade="00"/>
            </w:tcBorders>
          </w:tcPr>
          <w:tcPr>
            <w:vMerge w:val="restart"/>
          </w:tcPr>
          <w:p>
            <w:pPr>
              <w:pStyle w:val="NormalinTable"/>
            </w:pPr>
            <w:r>
              <w:t>23,835,000 kg</w:t>
            </w:r>
          </w:p>
        </w:tc>
        <!-- End Quota Volume cell //-->
        <!-- Begin Quota Open Date cell //-->
        <w:tc>
          <w:tcPr>
            <w:tcBorders>
              <w:top w:val="single" w:sz="12" w:space="0" w:color="000000" w:themeColor="background1" w:themeShade="00"/>
            </w:tcBorders>
          </w:tcPr>
          <w:tcPr>
            <w:vMerge w:val="restart"/>
          </w:tcPr>
          <w:p>
            <w:pPr>
              <w:pStyle w:val="NormalinTable"/>
            </w:pPr>
            <w:r>
              <w:t/>
            </w:r>
            <w:r>
              <w:t>01/11</w:t>
            </w:r>
          </w:p>
        </w:tc>
        <!-- End Quota Open Date cell //-->
        <!-- Begin Quota Close Date cell //-->
        <w:tc>
          <w:tcPr>
            <w:tcBorders>
              <w:top w:val="single" w:sz="12" w:space="0" w:color="000000" w:themeColor="background1" w:themeShade="00"/>
            </w:tcBorders>
          </w:tcPr>
          <w:tcPr>
            <w:vMerge w:val="restart"/>
          </w:tcPr>
          <w:p>
            <w:pPr>
              <w:pStyle w:val="NormalinTable"/>
            </w:pPr>
            <w:r>
              <w:t/>
            </w:r>
            <w:r>
              <w:t>29/02</w:t>
            </w:r>
          </w:p>
        </w:tc>
        <!-- End Quota Close Date cell //-->
        <!-- Begin 2019 Quota Volume cell //-->
        <!--
				<w:tc>
                    <w:tcPr>
                        <w:tcBorders>
                            <w:top w:val="single" w:sz="12" w:space="0" w:color="000000" w:themeColor="background1" w:themeShade="00"/>
                        </w:tcBorders>
                    </w:tcPr>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091133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0709 93 10</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- 0.00% + Specific 100%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831,000 kg (2019)</w:t>
            </w:r>
          </w:p>
          <!--19VEnd//-->
          <w:p>
            <w:pPr>
              <w:pStyle w:val="NormalinTable"/>
            </w:pPr>
            <w:r>
              <w:t>7,627,000 kg</w:t>
            </w:r>
          </w:p>
        </w:tc>
        <!-- End Quota Volume cell //-->
        <!-- Begin Quota Open Date cell //-->
        <w:tc>
          <w:tcPr>
            <w:tcBorders>
              <w:top w:val="single" w:sz="12" w:space="0" w:color="000000" w:themeColor="background1" w:themeShade="00"/>
            </w:tcBorders>
          </w:tcPr>
          <w:tcPr>
            <w:vMerge w:val="restart"/>
          </w:tcPr>
          <w:p>
            <w:pPr>
              <w:pStyle w:val="NormalinTable"/>
            </w:pPr>
            <w:r>
              <w:t>01/10/2019</w:t>
            </w:r>
            <!--OPT//-->
            <w:r>
              <w:br/>
            </w:r>
            <!--OPT//-->
            <w:r>
              <w:t>01/10</w:t>
            </w:r>
          </w:p>
        </w:tc>
        <!-- End Quota Open Date cell //-->
        <!-- Begin Quota Close Date cell //-->
        <w:tc>
          <w:tcPr>
            <w:tcBorders>
              <w:top w:val="single" w:sz="12" w:space="0" w:color="000000" w:themeColor="background1" w:themeShade="00"/>
            </w:tcBorders>
          </w:tcPr>
          <w:tcPr>
            <w:vMerge w:val="restart"/>
          </w:tcPr>
          <w:p>
            <w:pPr>
              <w:pStyle w:val="NormalinTable"/>
            </w:pPr>
            <w:r>
              <w:t>20/04/2020</w:t>
            </w:r>
            <!--OPT//-->
            <w:r>
              <w:br/>
            </w:r>
            <!--OPT//-->
            <w:r>
              <w:t>20/04</w:t>
            </w:r>
          </w:p>
        </w:tc>
        <!-- End Quota Close Date cell //-->
        <!-- Begin 2019 Quota Volume cell //-->
        <!--
				<w:tc>
                    <w:tcPr>
                        <w:tcBorders>
                            <w:top w:val="single" w:sz="12" w:space="0" w:color="000000" w:themeColor="background1" w:themeShade="00"/>
                        </w:tcBorders>
                    </w:tcPr>
					<w:p>
						<w:pPr>
							<w:pStyle w:val="NormalinTable"/>
						</w:pPr>
						<w:r>
							<w:t>831,000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091137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0707 00 05</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- 0.00% + Specific 100%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680,000 kg (2019)</w:t>
            </w:r>
          </w:p>
          <!--19VEnd//-->
          <w:p>
            <w:pPr>
              <w:pStyle w:val="NormalinTable"/>
            </w:pPr>
            <w:r>
              <w:t>2,288,000 kg</w:t>
            </w:r>
          </w:p>
        </w:tc>
        <!-- End Quota Volume cell //-->
        <!-- Begin Quota Open Date cell //-->
        <w:tc>
          <w:tcPr>
            <w:tcBorders>
              <w:top w:val="single" w:sz="12" w:space="0" w:color="000000" w:themeColor="background1" w:themeShade="00"/>
            </w:tcBorders>
          </w:tcPr>
          <w:tcPr>
            <w:vMerge w:val="restart"/>
          </w:tcPr>
          <w:p>
            <w:pPr>
              <w:pStyle w:val="NormalinTable"/>
            </w:pPr>
            <w:r>
              <w:t>01/11/2020</w:t>
            </w:r>
            <!--OPT//-->
            <w:r>
              <w:br/>
            </w:r>
            <!--OPT//-->
            <w:r>
              <w:t>01/11</w:t>
            </w:r>
          </w:p>
        </w:tc>
        <!-- End Quota Open Date cell //-->
        <!-- Begin Quota Close Date cell //-->
        <w:tc>
          <w:tcPr>
            <w:tcBorders>
              <w:top w:val="single" w:sz="12" w:space="0" w:color="000000" w:themeColor="background1" w:themeShade="00"/>
            </w:tcBorders>
          </w:tcPr>
          <w:tcPr>
            <w:vMerge w:val="restart"/>
          </w:tcPr>
          <w:p>
            <w:pPr>
              <w:pStyle w:val="NormalinTable"/>
            </w:pPr>
            <w:r>
              <w:t>31/05/2020</w:t>
            </w:r>
            <!--OPT//-->
            <w:r>
              <w:br/>
            </w:r>
            <!--OPT//-->
            <w:r>
              <w:t>31/05</w:t>
            </w:r>
          </w:p>
        </w:tc>
        <!-- End Quota Close Date cell //-->
        <!-- Begin 2019 Quota Volume cell //-->
        <!--
				<w:tc>
                    <w:tcPr>
                        <w:tcBorders>
                            <w:top w:val="single" w:sz="12" w:space="0" w:color="000000" w:themeColor="background1" w:themeShade="00"/>
                        </w:tcBorders>
                    </w:tcPr>
					<w:p>
						<w:pPr>
							<w:pStyle w:val="NormalinTable"/>
						</w:pPr>
						<w:r>
							<w:t>680,000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091193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0702 00 00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Entry Price - 0.00% + Specific 100%</w:t>
            </w:r>
          </w:p>
        </w:tc>
        <!-- End Preferential Quota Duty Rate cell //-->
        <!-- Begin Quota Volume cell //-->
        <w:tc>
          <w:tcPr>
            <w:tcBorders>
              <w:top w:val="single" w:sz="12" w:space="0" w:color="000000" w:themeColor="background1" w:themeShade="00"/>
            </w:tcBorders>
          </w:tcPr>
          <w:tcPr>
            <w:vMerge w:val="restart"/>
          </w:tcPr>
          <!--19VStart//-->
          <w:p>
            <w:pPr>
              <w:pStyle w:val="NormalinTable"/>
            </w:pPr>
            <w:r>
              <w:t>989,000 kg (2019)</w:t>
            </w:r>
          </w:p>
          <!--19VEnd//-->
          <w:p>
            <w:pPr>
              <w:pStyle w:val="NormalinTable"/>
            </w:pPr>
            <w:r>
              <w:t>3,814,000 kg</w:t>
            </w:r>
          </w:p>
        </w:tc>
        <!-- End Quota Volume cell //-->
        <!-- Begin Quota Open Date cell //-->
        <w:tc>
          <w:tcPr>
            <w:tcBorders>
              <w:top w:val="single" w:sz="12" w:space="0" w:color="000000" w:themeColor="background1" w:themeShade="00"/>
            </w:tcBorders>
          </w:tcPr>
          <w:tcPr>
            <w:vMerge w:val="restart"/>
          </w:tcPr>
          <w:p>
            <w:pPr>
              <w:pStyle w:val="NormalinTable"/>
            </w:pPr>
            <w:r>
              <w:t>01/11/2020</w:t>
            </w:r>
            <!--OPT//-->
            <w:r>
              <w:br/>
            </w:r>
            <!--OPT//-->
            <w:r>
              <w:t>01/05</w:t>
            </w:r>
          </w:p>
        </w:tc>
        <!-- End Quota Open Date cell //-->
        <!-- Begin Quota Close Date cell //-->
        <w:tc>
          <w:tcPr>
            <w:tcBorders>
              <w:top w:val="single" w:sz="12" w:space="0" w:color="000000" w:themeColor="background1" w:themeShade="00"/>
            </w:tcBorders>
          </w:tcPr>
          <w:tcPr>
            <w:vMerge w:val="restart"/>
          </w:tcPr>
          <w:p>
            <w:pPr>
              <w:pStyle w:val="NormalinTable"/>
            </w:pPr>
            <w:r>
              <w:t>31/05/2020</w:t>
            </w:r>
            <!--OPT//-->
            <w:r>
              <w:br/>
            </w:r>
            <!--OPT//-->
            <w:r>
              <w:t>31/05</w:t>
            </w:r>
          </w:p>
        </w:tc>
        <!-- End Quota Close Date cell //-->
        <!-- Begin 2019 Quota Volume cell //-->
        <!--
				<w:tc>
                    <w:tcPr>
                        <w:tcBorders>
                            <w:top w:val="single" w:sz="12" w:space="0" w:color="000000" w:themeColor="background1" w:themeShade="00"/>
                        </w:tcBorders>
                    </w:tcPr>
					<w:p>
						<w:pPr>
							<w:pStyle w:val="NormalinTable"/>
						</w:pPr>
						<w:r>
							<w:t>989,000 kg (2019)</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Morocco, version 1.0, dated 2 March 2019</dc:title>
  <dc:subject/>
  <dc:creator>Department for International Trade - Trade Policy Group</dc:creator>
  <cp:keywords>Morocco</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