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Norway,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Norway,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3.90%</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3.90%</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3.00%</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+ 43.590 € / 100 kg MAX 18.90% + 16.500 €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MAX 18.70% + SD)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+ 20.200 € / 100 kg MAX 19.40% + 9.400 €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+ 37.220 € / 100 kg MAX 18.10% + 7.000 €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+ 52.400 € / 100 kg MAX 17.80% + 6.900 €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98%</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97%</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0305 51 90 10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5,000 kg</w:t>
            </w:r>
          </w:p>
        </w:tc>
        <!-- End Quota Volume cell //-->
        <!-- Begin Quota Open Date cell //-->
        <w:tc>
          <w:tcPr>
            <w:tcBorders>
              <w:top w:val="single" w:sz="12" w:space="0" w:color="000000" w:themeColor="background1" w:themeShade="00"/>
            </w:tcBorders>
          </w:tcPr>
          <w:tcPr>
            <w:vMerge w:val="restart"/>
          </w:tcPr>
          <w:p>
            <w:pPr>
              <w:pStyle w:val="NormalinTable"/>
            </w:pPr>
            <w:r>
              <w:t>01/04</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0305 51 90 20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0305 53 10 90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2,000 l (2019)</w:t>
            </w:r>
          </w:p>
          <!--19VEnd//-->
          <w:p>
            <w:pPr>
              <w:pStyle w:val="NormalinTable"/>
            </w:pPr>
            <w:r>
              <w:t>3,000 l</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2202 99 15 19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2202 99 19 19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50,000 kg (2019)</w:t>
            </w:r>
          </w:p>
          <!--19VEnd//-->
          <w:p>
            <w:pPr>
              <w:pStyle w:val="NormalinTable"/>
            </w:pPr>
            <w:r>
              <w:t>571,000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23,000 kg (2019)</w:t>
            </w:r>
          </w:p>
          <!--19VEnd//-->
          <w:p>
            <w:pPr>
              <w:pStyle w:val="NormalinTable"/>
            </w:pPr>
            <w:r>
              <w:t>259,000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0303 55 30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12,000 kg (2019)</w:t>
            </w:r>
          </w:p>
          <!--19VEnd//-->
          <w:p>
            <w:pPr>
              <w:pStyle w:val="NormalinTable"/>
            </w:pPr>
            <w:r>
              <w:t>140,000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0303 69 90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33,000 kg (2019)</w:t>
            </w:r>
          </w:p>
          <!--19VEnd//-->
          <w:p>
            <w:pPr>
              <w:pStyle w:val="NormalinTable"/>
            </w:pPr>
            <w:r>
              <w:t>373,000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28,000 kg (2019)</w:t>
            </w:r>
          </w:p>
          <!--19VEnd//-->
          <w:p>
            <w:pPr>
              <w:pStyle w:val="NormalinTable"/>
            </w:pPr>
            <w:r>
              <w:t>37,000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7,000 kg</w:t>
            </w:r>
          </w:p>
        </w:tc>
        <!-- End Quota Volume cell //-->
        <!-- Begin Quota Open Date cell //-->
        <w:tc>
          <w:tcPr>
            <w:tcBorders>
              <w:top w:val="single" w:sz="12" w:space="0" w:color="000000" w:themeColor="background1" w:themeShade="00"/>
            </w:tcBorders>
          </w:tcPr>
          <w:tcPr>
            <w:vMerge w:val="restart"/>
          </w:tcPr>
          <w:p>
            <w:pPr>
              <w:pStyle w:val="NormalinTable"/>
            </w:pPr>
            <w:r>
              <w:t>16/06</w:t>
            </w:r>
          </w:p>
        </w:tc>
        <!-- End Quota Open Date cell //-->
        <!-- Begin Quota Close Date cell //-->
        <w:tc>
          <w:tcPr>
            <w:tcBorders>
              <w:top w:val="single" w:sz="12" w:space="0" w:color="000000" w:themeColor="background1" w:themeShade="00"/>
            </w:tcBorders>
          </w:tcPr>
          <w:tcPr>
            <w:vMerge w:val="restart"/>
          </w:tcPr>
          <w:p>
            <w:pPr>
              <w:pStyle w:val="NormalinTable"/>
            </w:pPr>
            <w:r>
              <w:t>14/02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191,000 kg</w:t>
            </w:r>
          </w:p>
        </w:tc>
        <!-- End Quota Volume cell //-->
        <!-- Begin Quota Open Date cell //-->
        <w:tc>
          <w:tcPr>
            <w:tcBorders>
              <w:top w:val="single" w:sz="12" w:space="0" w:color="000000" w:themeColor="background1" w:themeShade="00"/>
            </w:tcBorders>
          </w:tcPr>
          <w:tcPr>
            <w:vMerge w:val="restart"/>
          </w:tcPr>
          <w:p>
            <w:pPr>
              <w:pStyle w:val="NormalinTable"/>
            </w:pPr>
            <w:r>
              <w:t>16/06</w:t>
            </w:r>
          </w:p>
        </w:tc>
        <!-- End Quota Open Date cell //-->
        <!-- Begin Quota Close Date cell //-->
        <w:tc>
          <w:tcPr>
            <w:tcBorders>
              <w:top w:val="single" w:sz="12" w:space="0" w:color="000000" w:themeColor="background1" w:themeShade="00"/>
            </w:tcBorders>
          </w:tcPr>
          <w:tcPr>
            <w:vMerge w:val="restart"/>
          </w:tcPr>
          <w:p>
            <w:pPr>
              <w:pStyle w:val="NormalinTable"/>
            </w:pPr>
            <w:r>
              <w:t>14/02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0304 71 00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2,997,000 kg (2019)</w:t>
            </w:r>
          </w:p>
          <!--19VEnd//-->
          <w:p>
            <w:pPr>
              <w:pStyle w:val="NormalinTable"/>
            </w:pPr>
            <w:r>
              <w:t>3,949,000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0304 83 90 90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0304 88 90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3,000 kg (2019)</w:t>
            </w:r>
          </w:p>
          <!--19VEnd//-->
          <w:p>
            <w:pPr>
              <w:pStyle w:val="NormalinTable"/>
            </w:pPr>
            <w:r>
              <w:t>4,000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1,000 kg (2019)</w:t>
            </w:r>
          </w:p>
          <!--19VEnd//-->
          <w:p>
            <w:pPr>
              <w:pStyle w:val="NormalinTable"/>
            </w:pPr>
            <w:r>
              <w:t>1,000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0305 71 00 10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0305 64 00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14,000 kg (2019)</w:t>
            </w:r>
          </w:p>
          <!--19VEnd//-->
          <w:p>
            <w:pPr>
              <w:pStyle w:val="NormalinTable"/>
            </w:pPr>
            <w:r>
              <w:t>19,000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0305 71 00 90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0305 61 00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116,000 kg (2019)</w:t>
            </w:r>
          </w:p>
          <!--19VEnd//-->
          <w:p>
            <w:pPr>
              <w:pStyle w:val="NormalinTable"/>
            </w:pPr>
            <w:r>
              <w:t>153,000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20,000 kg (2019)</w:t>
            </w:r>
          </w:p>
          <!--19VEnd//-->
          <w:p>
            <w:pPr>
              <w:pStyle w:val="NormalinTable"/>
            </w:pPr>
            <w:r>
              <w:t>27,000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0306 34 00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1,000 kg (2019)</w:t>
            </w:r>
          </w:p>
          <!--19VEnd//-->
          <w:p>
            <w:pPr>
              <w:pStyle w:val="NormalinTable"/>
            </w:pPr>
            <w:r>
              <w:t>1,000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0306 35 90 14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0306 35 90 96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0306 36 10 11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0306 36 10 91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1605 21 10 20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590,000 kg (2019)</w:t>
            </w:r>
          </w:p>
          <!--19VEnd//-->
          <w:p>
            <w:pPr>
              <w:pStyle w:val="NormalinTable"/>
            </w:pPr>
            <w:r>
              <w:t>777,000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1605 21 90 57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090749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1605 21 10 20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68,000 kg (2019)</w:t>
            </w:r>
          </w:p>
          <!--19VEnd//-->
          <w:p>
            <w:pPr>
              <w:pStyle w:val="NormalinTable"/>
            </w:pPr>
            <w:r>
              <w:t>777,000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1605 21 90 57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1604 12 91 11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100 kg (2019)</w:t>
            </w:r>
          </w:p>
          <!--19VEnd//-->
          <w:p>
            <w:pPr>
              <w:pStyle w:val="NormalinTable"/>
            </w:pPr>
            <w:r>
              <w:t>1,000 kg</w:t>
            </w:r>
          </w:p>
        </w:tc>
        <!-- End Quota Volume cell //-->
        <!-- Begin Quota Open Date cell //-->
        <w:tc>
          <w:tcPr>
            <w:tcBorders>
              <w:top w:val="single" w:sz="12" w:space="0" w:color="000000" w:themeColor="background1" w:themeShade="00"/>
            </w:tcBorders>
          </w:tcPr>
          <w:tcPr>
            <w:vMerge w:val="restart"/>
          </w:tcPr>
          <!--19VStartb//-->
          <w:p>
            <w:pPr>
              <w:pStyle w:val="NormalinTable"/>
            </w:pPr>
            <w:r>
              <w:t>01/05/2019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1604 12 91 91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1604 12 99 15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150,000 kg (2019)</w:t>
            </w:r>
          </w:p>
          <!--19VEnd//-->
          <w:p>
            <w:pPr>
              <w:pStyle w:val="NormalinTable"/>
            </w:pPr>
            <w:r>
              <w:t>197,000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0303 99 00 75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090756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119,000 kg (2019)</w:t>
            </w:r>
          </w:p>
          <!--19VEnd//-->
          <w:p>
            <w:pPr>
              <w:pStyle w:val="NormalinTable"/>
            </w:pPr>
            <w:r>
              <w:t>157,000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2309 90 31 30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732,000 kg (2019)</w:t>
            </w:r>
          </w:p>
          <!--19VEnd//-->
          <w:p>
            <w:pPr>
              <w:pStyle w:val="NormalinTable"/>
            </w:pPr>
            <w:r>
              <w:t>964,000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31/12/2019</w:t>
            </w:r>
          </w:p>
          <!--19VEndc//-->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0304 89 49 10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1,000 kg (2019)</w:t>
            </w:r>
          </w:p>
          <!--19VEnd//-->
          <w:p>
            <w:pPr>
              <w:pStyle w:val="NormalinTable"/>
            </w:pPr>
            <w:r>
              <w:t>14,000 kg</w:t>
            </w:r>
          </w:p>
        </w:tc>
        <!-- End Quota Volume cell //-->
        <!-- Begin Quota Open Date cell //-->
        <w:tc>
          <w:tcPr>
            <w:tcBorders>
              <w:top w:val="single" w:sz="12" w:space="0" w:color="000000" w:themeColor="background1" w:themeShade="00"/>
            </w:tcBorders>
          </w:tcPr>
          <w:tcPr>
            <w:vMerge w:val="restart"/>
          </w:tcPr>
          <!--19VStartb//-->
          <w:p>
            <w:pPr>
              <w:pStyle w:val="NormalinTable"/>
            </w:pPr>
            <w:r>
              <w:t>01/05/2019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0304 89 49 20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1,000 kg (2019)</w:t>
            </w:r>
          </w:p>
          <!--19VEnd//-->
          <w:p>
            <w:pPr>
              <w:pStyle w:val="NormalinTable"/>
            </w:pPr>
            <w:r>
              <w:t>16,000 kg</w:t>
            </w:r>
          </w:p>
        </w:tc>
        <!-- End Quota Volume cell //-->
        <!-- Begin Quota Open Date cell //-->
        <w:tc>
          <w:tcPr>
            <w:tcBorders>
              <w:top w:val="single" w:sz="12" w:space="0" w:color="000000" w:themeColor="background1" w:themeShade="00"/>
            </w:tcBorders>
          </w:tcPr>
          <w:tcPr>
            <w:vMerge w:val="restart"/>
          </w:tcPr>
          <!--19VStartb//-->
          <w:p>
            <w:pPr>
              <w:pStyle w:val="NormalinTable"/>
            </w:pPr>
            <w:r>
              <w:t>01/05/2019</w:t>
            </w:r>
          </w:p>
          <!--19VEndb//-->
          <w:p>
            <w:pPr>
              <w:pStyle w:val="NormalinTable"/>
            </w:pPr>
            <w:r>
              <w:t>01/05</w:t>
            </w:r>
          </w:p>
        </w:tc>
        <!-- End Quota Open Date cell //-->
        <!-- Begin Quota Close Date cell //-->
        <w:tc>
          <w:tcPr>
            <w:tcBorders>
              <w:top w:val="single" w:sz="12" w:space="0" w:color="000000" w:themeColor="background1" w:themeShade="00"/>
            </w:tcBorders>
          </w:tcPr>
          <w:tcPr>
            <w:vMerge w:val="restart"/>
          </w:tcPr>
          <!--19VStartc//-->
          <w:p>
            <w:pPr>
              <w:pStyle w:val="NormalinTable"/>
            </w:pPr>
            <w:r>
              <w:t>30/04/2020</w:t>
            </w:r>
          </w:p>
          <!--19VEndc//-->
          <w:p>
            <w:pPr>
              <w:pStyle w:val="NormalinTable"/>
            </w:pPr>
            <w:r>
              <w:t>30/04</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65,000 kg (2019)</w:t>
            </w:r>
          </w:p>
          <!--19VEnd//-->
          <w:p>
            <w:pPr>
              <w:pStyle w:val="NormalinTable"/>
            </w:pPr>
            <w:r>
              <w:t>257,000 kg</w:t>
            </w:r>
          </w:p>
        </w:tc>
        <!-- End Quota Volume cell //-->
        <!-- Begin Quota Open Date cell //-->
        <w:tc>
          <w:tcPr>
            <w:tcBorders>
              <w:top w:val="single" w:sz="12" w:space="0" w:color="000000" w:themeColor="background1" w:themeShade="00"/>
            </w:tcBorders>
          </w:tcPr>
          <w:tcPr>
            <w:vMerge w:val="restart"/>
          </w:tcPr>
          <!--19VStartb//-->
          <w:p>
            <w:pPr>
              <w:pStyle w:val="NormalinTable"/>
            </w:pPr>
            <w:r>
              <w:t>29/03/2019</w:t>
            </w:r>
          </w:p>
          <!--19VEndb//-->
          <w:p>
            <w:pPr>
              <w:pStyle w:val="NormalinTable"/>
            </w:pPr>
            <w:r>
              <w:t>01/01</w:t>
            </w:r>
          </w:p>
        </w:tc>
        <!-- End Quota Open Date cell //-->
        <!-- Begin Quota Close Date cell //-->
        <w:tc>
          <w:tcPr>
            <w:tcBorders>
              <w:top w:val="single" w:sz="12" w:space="0" w:color="000000" w:themeColor="background1" w:themeShade="00"/>
            </w:tcBorders>
          </w:tcPr>
          <w:tcPr>
            <w:vMerge w:val="restart"/>
          </w:tcPr>
          <!--19VStartc//-->
          <w:p>
            <w:pPr>
              <w:pStyle w:val="NormalinTable"/>
            </w:pPr>
            <w:r>
              <w:t>31/12/2020</w:t>
            </w:r>
          </w:p>
          <!--19VEndc//-->
          <w:p>
            <w:pPr>
              <w:pStyle w:val="NormalinTable"/>
            </w:pPr>
            <w:r>
              <w:t>31/12</w:t>
            </w:r>
          </w:p>
        </w:tc>
        <!-- End Quota Close Dat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European Economic Area - Norway, version 1.0, dated 5 February 2019</dc:title>
  <dc:subject/>
  <dc:creator>Department for International Trade - Trade Policy Group</dc:creator>
  <cp:keywords>Norway</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