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the Swiss Confederation, version 1.0, dated 05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the Swiss Confederation,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w:t>
      </w:r>
      <w:r>
        <w:t>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3 and 4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3(2)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0302 11 10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0302 72 00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0302 89 10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0303 89 10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0304 42 50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0304 62 00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0304 63 00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0402 29 11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43.80 € / 100 kg</w:t></w:r></w:t>
            </w:r>//-->
            <w:r>
              <w:t>43.80 €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0403 90 99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0404 90 83 10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43.80 € / 100 kg</w:t></w:r></w:t>
            </w:r>//-->
            <w:r>
              <w:t>43.80 € / 100 kg</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0405 20 10 10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0405 20 10 80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0405 20 30 10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0405 20 30 80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0406 00 00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0603 19 00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9.6%</w:t></w:r></w:t>
            </w:r>//-->
            <w:r>
              <w:t>9.6%</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0709 59 00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0710 80 69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0712 90 00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1106 30 90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1903 00 00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2002 90 91 10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2002 90 99 10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2004 10 91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2005 99 80 21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2005 99 80 91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2008 30 55 20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2008 30 59 41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2008 30 59 91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2008 30 75 20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2008 30 90 25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2008 30 90 75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2008 40 71 20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2008 50 71 30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2008 50 98 93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2008 70 71 30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2008 70 79 10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2008 70 92 30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2008 70 98 15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2008 70 98 25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2008 80 50 10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2008 80 70 10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2008 80 90 10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2008 93 93 10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2008 99 48 11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2008 99 48 91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2008 99 67 91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2008 99 72 10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2008 99 78 20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2008 99 99 30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2009 19 11 29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2009 19 91 11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2009 19 98 11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2009 19 98 91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2009 29 99 10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2009 39 31 11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2009 39 31 91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2009 39 55 10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2009 39 99 10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2009 41 92 10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2009 41 92 60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2009 49 99 10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2009 79 98 10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2009 79 98 70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2009 81 31 50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2009 81 95 10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2009 89 38 91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2009 89 73 11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2009 89 73 91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2009 89 79 11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2009 89 79 41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2009 89 79 91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2009 89 86 21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2009 89 89 91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2009 89 96 10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2009 89 97 21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2009 89 97 91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2009 89 99 15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2009 89 99 17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2009 89 99 19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2101 12 92 92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2101 12 92 99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2101 12 98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2101 20 92 82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2101 20 92 99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2101 20 98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2106 10 80 31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2106 10 80 39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2106 10 80 70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2106 90 00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2208 90 99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2915 36 00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2916 19 40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2918 19 98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2918 99 00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2932 20 90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3501 10 50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3501 90 00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3824 99 61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3911 90 99 90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3913 90 00 99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r>
        <w:trPr>
          <w:cantSplit/>
        </w:trPr>
        <w:tc>
          <w:tcPr>
            <w:tcBorders>
              <w:top w:val="single" w:sz="4" w:space="0" w:color="A6A6A6" w:themeColor="background1" w:themeShade="A6"/>
              <w:right w:val="single" w:sz="4" w:space="0" w:color="000000" w:themeColor="text1"/>
            </w:tcBorders>
          </w:tcPr>
          <w:p>
            <w:pPr>
              <w:pStyle w:val="NormalinTable"/>
            </w:pPr>
            <w:r>
              <w:rPr>
                <w:b/>
              </w:rPr>
              <w:t>7310 29 90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{DESCRIPTION}
            </w:r>
          </w:p>
        </w:tc>
		//-->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7(1) of the Regulations, which meet the conditions of regulation 7(2)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4(4)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Quota Duty Rate in column 4 is defined in regulation 4(2) of the Regulations.</w:t>
      </w:r>
    </w:p>
    <w:p>
      <w:pPr>
        <w:pStyle w:val="Numberedlist-quotas"/>
      </w:pPr>
      <w:r>
        <w:t>The Quota Volume in column 5 under regulation 11 of the Regulations is the maximum quantity of quota goods that can be imported under the quota during the quota period.</w:t>
      </w:r>
    </w:p>
    <w:p>
      <w:pPr>
        <w:pStyle w:val="Numberedlist-quotas"/>
      </w:pPr>
      <w:r>
        <w:t>The Quota Open Date in column 6 is the date on which the quota period commences under regulation 10 of the Regulations.</w:t>
      </w:r>
    </w:p>
    <w:p>
      <w:pPr>
        <w:pStyle w:val="Numberedlist-quotas"/>
      </w:pPr>
      <w:r>
        <w:t>The Quota Close Date in column 7 is the date on which the quota period ends under regulations 10(1) and (3) of the Regulations.</w:t>
      </w:r>
    </w:p>
    <w:p>
      <w:pPr>
        <w:pStyle w:val="Numberedlist-quotas"/>
      </w:pPr>
      <w:r>
        <w:t>The 2019 Quota Volume in column 8 is defined in regulation 11(2) of the Regulations.</w:t>
      </w:r>
    </w:p>
    <!--
<w:p>
	<w:r>
		<w:t></w:t>
	</w:r>
</w:p> 
//-->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Begin quota number cell //-->
        <w:tc>
          <w:tcPr>
            <w:tcW w:w="9" w:type="pct"/>
            <w:tcBorders>
              <w:left w:val="single" w:sz="12" w:space="0" w:color="000000" w:themeColor="text1"/>
              <w:right w:val="single" w:sz="12" w:space="0" w:color="000000" w:themeColor="text1"/>
            </w:tcBorders>
          </w:tcPr>
          <w:p>
            <w:pPr>
              <w:pStyle w:val="NormalinTable"/>
            </w:pPr>
            <w:r>
              <w:t>1</w:t>
            </w:r>
          </w:p>
        </w:tc>
        <!-- End quota number cell //-->
        <!-- Begin origin quota cell //-->
        <w:tc>
          <w:tcPr>
            <w:tcW w:w="9" w:type="pct"/>
            <w:tcBorders>
              <w:left w:val="single" w:sz="12" w:space="0" w:color="000000" w:themeColor="text1"/>
              <w:right w:val="single" w:sz="12" w:space="0" w:color="000000" w:themeColor="text1"/>
            </w:tcBorders>
          </w:tcPr>
          <w:p>
            <w:pPr>
              <w:pStyle w:val="NormalinTable"/>
              <w:jc w:val="left"/>
            </w:pPr>
            <w:r>
              <w:t>2</w:t>
            </w:r>
          </w:p>
        </w:tc>
        <!-- End origin quota cell //-->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End commodity code cell //-->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End Preferential Quota Duty Rate cell //-->
        <!-- Begin Quota Volume cell //-->
        <w:tc>
          <w:tcPr>
            <w:tcW w:w="16" w:type="pct"/>
            <w:tcBorders>
              <w:left w:val="single" w:sz="12" w:space="0" w:color="000000" w:themeColor="text1"/>
              <w:right w:val="single" w:sz="12" w:space="0" w:color="000000" w:themeColor="text1"/>
            </w:tcBorders>
          </w:tcPr>
          <w:p>
            <w:pPr>
              <w:pStyle w:val="NormalinTable"/>
              <w:jc w:val="left"/>
            </w:pPr>
            <w:r>
              <w:t>5</w:t>
            </w:r>
          </w:p>
        </w:tc>
        <!-- End Quota Volume cell //-->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End Quota Open Date cell //-->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End Quota Close Date cell //-->
        <!-- Begin 2019 Quota Volume cell //-->
        <w:tc>
          <w:tcPr>
            <w:tcW w:w="16" w:type="pct"/>
            <w:tcBorders>
              <w:left w:val="single" w:sz="12" w:space="0" w:color="000000" w:themeColor="text1"/>
              <w:right w:val="single" w:sz="12" w:space="0" w:color="000000" w:themeColor="text1"/>
            </w:tcBorders>
          </w:tcPr>
          <w:p>
            <w:pPr>
              <w:pStyle w:val="NormalinTable"/>
              <w:jc w:val="left"/>
            </w:pPr>
            <w:r>
              <w:t>8</w:t>
            </w:r>
          </w:p>
        </w:tc>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Begin quota number cell //-->
        <w:tc>
          <w:tcPr>
            <w:tcW w:w="9" w:type="pct"/>
            <w:tcBorders>
              <w:left w:val="single" w:sz="12" w:space="0" w:color="000000" w:themeColor="text1"/>
              <w:right w:val="single" w:sz="12" w:space="0" w:color="000000" w:themeColor="text1"/>
            </w:tcBorders>
          </w:tcPr>
          <w:p>
            <w:pPr>
              <w:pStyle w:val="NormalinTable"/>
            </w:pPr>
            <w:r>
              <w:t>Quota Number</w:t>
            </w:r>
          </w:p>
        </w:tc>
        <!-- End quota number cell //-->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End origin quota cell //-->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End commodity code cell //-->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End Preferential Quota Duty Rate cell //-->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End Quota Volume cell //-->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End Quota Open Date cell //-->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End Quota Close Date cell //-->
        <!-- Begin 2019 Quota Volume cell //-->
        <w:tc>
          <w:tcPr>
            <w:tcW w:w="16" w:type="pct"/>
            <w:tcBorders>
              <w:left w:val="single" w:sz="12" w:space="0" w:color="000000" w:themeColor="text1"/>
              <w:right w:val="single" w:sz="12" w:space="0" w:color="000000" w:themeColor="text1"/>
            </w:tcBorders>
          </w:tcPr>
          <w:p>
            <w:pPr>
              <w:pStyle w:val="NormalinTable"/>
              <w:jc w:val="left"/>
            </w:pPr>
            <w:r>
              <w:t>2019 Quota Volume</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09.0919</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Yes</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0210 19 50 10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0210 19 81 10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0210 19 81 20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1601 00 10 11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1601 00 10 19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1601 00 91 10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1601 00 99 11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1601 00 99 19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1602 49 19 10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09.0921</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Yes</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0701 10 00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09.0922</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0702 00 00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Entry Price - 0.0% + Specific 0% </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09.0923</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0703 10 19</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0703 90 00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09.0924</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0704 10 00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0704 90 00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09.0925</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0705 11 00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0705 19 00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0705 21 00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0705 29 00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09.0926</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0706 10 00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09.0927</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0706 90 10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0706 90 90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09.0928</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0707 00 05</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Entry Price - 0.0% + Specific 0% </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09.0929</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0708 20 00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09.0930</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0709 30 00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09.0931</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0709 40 00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09.0932</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0709 70 00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09.0933</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0709 99 10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09.0934</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0709 99 50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09.0935</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0709 93 10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Entry Price - 0.0% + Specific 0% </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09.0936</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0709 93 90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0709 99 90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09.0937</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0808 10 80 90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Entry Price - 0.0% + Specific 0% </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09.0938</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0808 30 90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Entry Price - 0.0% + Specific 0% </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4" w:space="0" w:color="666666" w:themeColor="background1" w:themeShade="A6"/>
              <!--<w:right w:val="single" w:sz="4" w:space="0" w:color="666666" w:themeColor="text1"/>//-->
            </w:tcBorders>
          </w:tcPr>
          <w:p>
            <w:pPr>
              <w:pStyle w:val="NormalinTable"/>
              <w:jc w:val="center"/>
            </w:pPr>
            <w:r>
              <w:rPr>
                <w:b/>
              </w:rPr>
              <w:t/>
            </w:r>
          </w:p>
        </w:tc>
        <!-- End quota number cell //-->
        <!-- Begin origin quota cell //-->
        <w:tc>
          <w:tcPr>
            <w:tcBorders>
              <w:top w:val="single" w:sz="4" w:space="0" w:color="666666" w:themeColor="background1" w:themeShade="A6"/>
              <!--<w:right w:val="single" w:sz="4" w:space="0" w:color="666666" w:themeColor="text1"/>//-->
            </w:tcBorders>
          </w:tcPr>
          <w:p>
            <w:pPr>
              <w:pStyle w:val="NormalinTable"/>
            </w:pPr>
            <w:r>
              <!--<w:rPr><w:b/></w:rPr>//-->
              <w:t/>
            </w:r>
          </w:p>
        </w:tc>
        <!-- End origin quota cell //-->
        <!-- Begin commodity code cell //-->
        <w:tc>
          <w:tcPr>
            <w:tcBorders>
              <w:top w:val="single" w:sz="4" w:space="0" w:color="666666" w:themeColor="background1" w:themeShade="A6"/>
              <!--<w:right w:val="single" w:sz="4" w:space="0" w:color="666666" w:themeColor="text1"/>//-->
            </w:tcBorders>
          </w:tcPr>
          <w:p>
            <w:pPr>
              <w:pStyle w:val="NormalinTable"/>
            </w:pPr>
            <w:r>
              <!--<w:rPr><w:b/></w:rPr>//-->
              <w:t>0808 40 00</w:t>
            </w:r>
          </w:p>
        </w:tc>
        <!-- End commodity code cell //-->
        <!-- Begin Preferential Quota Duty Rate cell //-->
        <w:tc>
          <w:tcPr>
            <w:tcBorders>
              <w:top w:val="single" w:sz="4" w:space="0" w:color="666666" w:themeColor="background1" w:themeShade="A6"/>
              <!--<w:right w:val="single" w:sz="4" w:space="0" w:color="666666" w:themeColor="text1"/>//-->
            </w:tcBorders>
          </w:tcPr>
          <w:p>
            <w:pPr>
              <w:pStyle w:val="NormalinTable"/>
            </w:pPr>
            <w:r>
              <!--<w:rPr><w:b/></w:rPr>//-->
              <w:t>0.0%</w:t>
            </w:r>
          </w:p>
        </w:tc>
        <!-- End Preferential Quota Duty Rate cell //-->
        <!-- Begin Quota Volume cell //-->
        <w:tc>
          <w:tcPr>
            <w:tcBorders>
              <w:top w:val="single" w:sz="4" w:space="0" w:color="666666" w:themeColor="background1" w:themeShade="A6"/>
              <!--<w:right w:val="single" w:sz="4" w:space="0" w:color="666666" w:themeColor="text1"/>//-->
            </w:tcBorders>
          </w:tcPr>
          <w:p>
            <w:pPr>
              <w:pStyle w:val="NormalinTable"/>
            </w:pPr>
            <w:r>
              <!--<w:rPr><w:b/></w:rPr>//-->
              <w:t/>
            </w:r>
          </w:p>
        </w:tc>
        <!-- End Quota Volume cell //-->
        <!-- Begin Quota Open Date cell //-->
        <w:tc>
          <w:tcPr>
            <w:tcBorders>
              <w:top w:val="single" w:sz="4" w:space="0" w:color="666666" w:themeColor="background1" w:themeShade="A6"/>
              <!--<w:right w:val="single" w:sz="4" w:space="0" w:color="666666" w:themeColor="text1"/>//-->
            </w:tcBorders>
          </w:tcPr>
          <w:p>
            <w:pPr>
              <w:pStyle w:val="NormalinTable"/>
            </w:pPr>
            <w:r>
              <!--<w:rPr><w:b/></w:rPr>//-->
              <w:t/>
            </w:r>
          </w:p>
        </w:tc>
        <!-- End Quota Open Date cell //-->
        <!-- Begin Quota Close Date cell //-->
        <w:tc>
          <w:tcPr>
            <w:tcBorders>
              <w:top w:val="single" w:sz="4" w:space="0" w:color="666666" w:themeColor="background1" w:themeShade="A6"/>
              <!--<w:right w:val="single" w:sz="4" w:space="0" w:color="666666" w:themeColor="text1"/>//-->
            </w:tcBorders>
          </w:tcPr>
          <w:p>
            <w:pPr>
              <w:pStyle w:val="NormalinTable"/>
            </w:pPr>
            <w:r>
              <!--<w:rPr><w:b/></w:rPr>//-->
              <w:t/>
            </w:r>
          </w:p>
        </w:tc>
        <!-- End Quota Close Date cell //-->
        <!-- Begin 2019 Quota Volume cell //-->
        <w:tc>
          <w:tcPr>
            <w:tcBorders>
              <w:top w:val="single" w:sz="4" w:space="0" w:color="666666" w:themeColor="background1" w:themeShade="A6"/>
              <!--<w:right w:val="single" w:sz="4" w:space="0" w:color="666666" w:themeColor="text1"/>//-->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09.0939</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0809 10 00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Entry Price - 0.0% + Specific 0% </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09.0940</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0809 29 00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Entry Price - 0.0% + Specific 0% </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09.0941</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0809 40 05</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Entry Price - 0.0% + Specific 0% </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4" w:space="0" w:color="666666" w:themeColor="background1" w:themeShade="A6"/>
              <!--<w:right w:val="single" w:sz="4" w:space="0" w:color="666666" w:themeColor="text1"/>//-->
            </w:tcBorders>
          </w:tcPr>
          <w:p>
            <w:pPr>
              <w:pStyle w:val="NormalinTable"/>
              <w:jc w:val="center"/>
            </w:pPr>
            <w:r>
              <w:rPr>
                <w:b/>
              </w:rPr>
              <w:t/>
            </w:r>
          </w:p>
        </w:tc>
        <!-- End quota number cell //-->
        <!-- Begin origin quota cell //-->
        <w:tc>
          <w:tcPr>
            <w:tcBorders>
              <w:top w:val="single" w:sz="4" w:space="0" w:color="666666" w:themeColor="background1" w:themeShade="A6"/>
              <!--<w:right w:val="single" w:sz="4" w:space="0" w:color="666666" w:themeColor="text1"/>//-->
            </w:tcBorders>
          </w:tcPr>
          <w:p>
            <w:pPr>
              <w:pStyle w:val="NormalinTable"/>
            </w:pPr>
            <w:r>
              <!--<w:rPr><w:b/></w:rPr>//-->
              <w:t/>
            </w:r>
          </w:p>
        </w:tc>
        <!-- End origin quota cell //-->
        <!-- Begin commodity code cell //-->
        <w:tc>
          <w:tcPr>
            <w:tcBorders>
              <w:top w:val="single" w:sz="4" w:space="0" w:color="666666" w:themeColor="background1" w:themeShade="A6"/>
              <!--<w:right w:val="single" w:sz="4" w:space="0" w:color="666666" w:themeColor="text1"/>//-->
            </w:tcBorders>
          </w:tcPr>
          <w:p>
            <w:pPr>
              <w:pStyle w:val="NormalinTable"/>
            </w:pPr>
            <w:r>
              <!--<w:rPr><w:b/></w:rPr>//-->
              <w:t>0809 40 90</w:t>
            </w:r>
          </w:p>
        </w:tc>
        <!-- End commodity code cell //-->
        <!-- Begin Preferential Quota Duty Rate cell //-->
        <w:tc>
          <w:tcPr>
            <w:tcBorders>
              <w:top w:val="single" w:sz="4" w:space="0" w:color="666666" w:themeColor="background1" w:themeShade="A6"/>
              <!--<w:right w:val="single" w:sz="4" w:space="0" w:color="666666" w:themeColor="text1"/>//-->
            </w:tcBorders>
          </w:tcPr>
          <w:p>
            <w:pPr>
              <w:pStyle w:val="NormalinTable"/>
            </w:pPr>
            <w:r>
              <!--<w:rPr><w:b/></w:rPr>//-->
              <w:t>0.0%</w:t>
            </w:r>
          </w:p>
        </w:tc>
        <!-- End Preferential Quota Duty Rate cell //-->
        <!-- Begin Quota Volume cell //-->
        <w:tc>
          <w:tcPr>
            <w:tcBorders>
              <w:top w:val="single" w:sz="4" w:space="0" w:color="666666" w:themeColor="background1" w:themeShade="A6"/>
              <!--<w:right w:val="single" w:sz="4" w:space="0" w:color="666666" w:themeColor="text1"/>//-->
            </w:tcBorders>
          </w:tcPr>
          <w:p>
            <w:pPr>
              <w:pStyle w:val="NormalinTable"/>
            </w:pPr>
            <w:r>
              <!--<w:rPr><w:b/></w:rPr>//-->
              <w:t/>
            </w:r>
          </w:p>
        </w:tc>
        <!-- End Quota Volume cell //-->
        <!-- Begin Quota Open Date cell //-->
        <w:tc>
          <w:tcPr>
            <w:tcBorders>
              <w:top w:val="single" w:sz="4" w:space="0" w:color="666666" w:themeColor="background1" w:themeShade="A6"/>
              <!--<w:right w:val="single" w:sz="4" w:space="0" w:color="666666" w:themeColor="text1"/>//-->
            </w:tcBorders>
          </w:tcPr>
          <w:p>
            <w:pPr>
              <w:pStyle w:val="NormalinTable"/>
            </w:pPr>
            <w:r>
              <!--<w:rPr><w:b/></w:rPr>//-->
              <w:t/>
            </w:r>
          </w:p>
        </w:tc>
        <!-- End Quota Open Date cell //-->
        <!-- Begin Quota Close Date cell //-->
        <w:tc>
          <w:tcPr>
            <w:tcBorders>
              <w:top w:val="single" w:sz="4" w:space="0" w:color="666666" w:themeColor="background1" w:themeShade="A6"/>
              <!--<w:right w:val="single" w:sz="4" w:space="0" w:color="666666" w:themeColor="text1"/>//-->
            </w:tcBorders>
          </w:tcPr>
          <w:p>
            <w:pPr>
              <w:pStyle w:val="NormalinTable"/>
            </w:pPr>
            <w:r>
              <!--<w:rPr><w:b/></w:rPr>//-->
              <w:t/>
            </w:r>
          </w:p>
        </w:tc>
        <!-- End Quota Close Date cell //-->
        <!-- Begin 2019 Quota Volume cell //-->
        <w:tc>
          <w:tcPr>
            <w:tcBorders>
              <w:top w:val="single" w:sz="4" w:space="0" w:color="666666" w:themeColor="background1" w:themeShade="A6"/>
              <!--<w:right w:val="single" w:sz="4" w:space="0" w:color="666666" w:themeColor="text1"/>//-->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09.0942</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0810 20 10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09.0943</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0810 20 90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09.0944</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1106 30 10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09.0945</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0710 10 00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2004 10 10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2004 10 99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2005 20 80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09.0946</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0811 90 19 12</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0811 90 39 12</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0811 90 80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2008 60 00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09.0948</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0810 10 00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09.0950</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0709 99 20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09.4155</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0401 40 10 10</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27,000 kg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107,000 kg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0401 40 90 10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0401 50 11 10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0401 50 19 10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0401 50 31 10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0401 50 39 10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0401 50 91 10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0401 50 99 10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0403 10 00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09.4202</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0210 20 90 11</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49,000 kg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64,000 kg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0210 20 90 15</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tcPr>
            <w:tcBorders>
              <w:top w:val="single" w:sz="12" w:space="0" w:color="000000" w:themeColor="background1" w:themeShade="00"/>
              <!--<w:top w:val="single" w:sz="80" w:space="0" w:color="000000" w:themeColor="background1" w:themeShade="A6"/>//-->
            </w:tcBorders>
          </w:tcPr>
          <w:p>
            <w:pPr>
              <w:pStyle w:val="NormalinTable"/>
              <w:jc w:val="center"/>
            </w:pPr>
            <w:r>
              <w:rPr>
                <w:b/>
              </w:rPr>
              <w:t>09.4203</w:t>
            </w:r>
          </w:p>
        </w:tc>
        <!-- End quota number cell //-->
        <!-- Begin origin quota cell //-->
        <w:tc>
          <w:tcPr>
            <w:tcBorders>
              <w:top w:val="single" w:sz="12" w:space="0" w:color="000000" w:themeColor="background1" w:themeShade="00"/>
              <!--<w:top w:val="single" w:sz="80" w:space="0" w:color="000000" w:themeColor="background1" w:themeShade="A6"/>//-->
            </w:tcBorders>
          </w:tcPr>
          <w:p>
            <w:pPr>
              <w:pStyle w:val="NormalinTable"/>
            </w:pPr>
            <w:r>
              <!--<w:rPr><w:b/></w:rPr>//-->
              <w:t/>
            </w:r>
          </w:p>
        </w:tc>
        <!-- End origin quota cell //-->
        <!-- Begin commodity code cell //-->
        <w:tc>
          <w:tcPr>
            <w:tcBorders>
              <w:top w:val="single" w:sz="12" w:space="0" w:color="000000" w:themeColor="background1" w:themeShade="00"/>
              <!--<w:top w:val="single" w:sz="80" w:space="0" w:color="000000" w:themeColor="background1" w:themeShade="A6"/>//-->
            </w:tcBorders>
          </w:tcPr>
          <w:p>
            <w:pPr>
              <w:pStyle w:val="NormalinTable"/>
            </w:pPr>
            <w:r>
              <!--<w:rPr><w:b/></w:rPr>//-->
              <w:t>0102 29 41</w:t>
            </w:r>
          </w:p>
        </w:tc>
        <!-- End commodity code cell //-->
        <!-- Begin Preferential Quota Duty Rate cell //-->
        <w:tc>
          <w:tcPr>
            <w:tcBorders>
              <w:top w:val="single" w:sz="12" w:space="0" w:color="000000" w:themeColor="background1" w:themeShade="00"/>
              <!--<w:top w:val="single" w:sz="80" w:space="0" w:color="000000" w:themeColor="background1" w:themeShade="A6"/>//-->
            </w:tcBorders>
          </w:tcPr>
          <w:p>
            <w:pPr>
              <w:pStyle w:val="NormalinTable"/>
            </w:pPr>
            <w:r>
              <!--<w:rPr><w:b/></w:rPr>//-->
              <w:t>0.0%</w:t>
            </w:r>
          </w:p>
        </w:tc>
        <!-- End Preferential Quota Duty Rate cell //-->
        <!-- Begin Quota Volume cell //-->
        <w:tc>
          <w:tcPr>
            <w:tcBorders>
              <w:top w:val="single" w:sz="12" w:space="0" w:color="000000" w:themeColor="background1" w:themeShade="00"/>
              <!--<w:top w:val="single" w:sz="80" w:space="0" w:color="000000" w:themeColor="background1" w:themeShade="A6"/>//-->
            </w:tcBorders>
          </w:tcPr>
          <w:p>
            <w:pPr>
              <w:pStyle w:val="NormalinTable"/>
            </w:pPr>
            <w:r>
              <!--<w:rPr><w:b/></w:rPr>//-->
              <w:t>187 kg </w:t>
            </w:r>
          </w:p>
        </w:tc>
        <!-- End Quota Volume cell //-->
        <!-- Begin Quota Open Date cell //-->
        <w:tc>
          <w:tcPr>
            <w:tcBorders>
              <w:top w:val="single" w:sz="12" w:space="0" w:color="000000" w:themeColor="background1" w:themeShade="00"/>
              <!--<w:top w:val="single" w:sz="80" w:space="0" w:color="000000" w:themeColor="background1" w:themeShade="A6"/>//-->
            </w:tcBorders>
          </w:tcPr>
          <w:p>
            <w:pPr>
              <w:pStyle w:val="NormalinTable"/>
            </w:pPr>
            <w:r>
              <!--<w:rPr><w:b/></w:rPr>//-->
              <w:t>30/03</w:t>
            </w:r>
          </w:p>
        </w:tc>
        <!-- End Quota Open Date cell //-->
        <!-- Begin Quota Close Date cell //-->
        <w:tc>
          <w:tcPr>
            <w:tcBorders>
              <w:top w:val="single" w:sz="12" w:space="0" w:color="000000" w:themeColor="background1" w:themeShade="00"/>
              <!--<w:top w:val="single" w:sz="80" w:space="0" w:color="000000" w:themeColor="background1" w:themeShade="A6"/>//-->
            </w:tcBorders>
          </w:tcPr>
          <w:p>
            <w:pPr>
              <w:pStyle w:val="NormalinTable"/>
            </w:pPr>
            <w:r>
              <!--<w:rPr><w:b/></w:rPr>//-->
              <w:t>31/12</w:t>
            </w:r>
          </w:p>
        </w:tc>
        <!-- End Quota Close Date cell //-->
        <!-- Begin 2019 Quota Volume cell //-->
        <w:tc>
          <w:tcPr>
            <w:tcBorders>
              <w:top w:val="single" w:sz="12" w:space="0" w:color="000000" w:themeColor="background1" w:themeShade="00"/>
              <!--<w:top w:val="single" w:sz="80" w:space="0" w:color="000000" w:themeColor="background1" w:themeShade="A6"/>//-->
            </w:tcBorders>
          </w:tcPr>
          <w:p>
            <w:pPr>
              <w:pStyle w:val="NormalinTable"/>
            </w:pPr>
            <w:r>
              <!--<w:rPr><w:b/></w:rPr>//-->
              <w:t>247 kg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0102 29 49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0102 29 51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0102 29 59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0102 29 61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0102 29 69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0102 29 91</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0102 29 99</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0102 39 10 10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r>
        <w:trPr>
          <w:cantSplit/>
        </w:trPr>
        <!-- Begin quota number cell //-->
        <w:tc>
          <w:p>
            <w:pPr>
              <w:pStyle w:val="NormalinTable"/>
              <w:jc w:val="center"/>
            </w:pPr>
            <w:r>
              <w:rPr>
                <w:b/>
              </w:rPr>
              <w:t/>
            </w:r>
          </w:p>
        </w:tc>
        <!-- End quota number cell //-->
        <!-- Begin origin quota cell //-->
        <w:tc>
          <w:p>
            <w:pPr>
              <w:pStyle w:val="NormalinTable"/>
            </w:pPr>
            <w:r>
              <!--<w:rPr><w:b/></w:rPr>//-->
              <w:t/>
            </w:r>
          </w:p>
        </w:tc>
        <!-- End origin quota cell //-->
        <!-- Begin commodity code cell //-->
        <w:tc>
          <w:p>
            <w:pPr>
              <w:pStyle w:val="NormalinTable"/>
            </w:pPr>
            <w:r>
              <!--<w:rPr><w:b/></w:rPr>//-->
              <w:t>0102 90 91 10</w:t>
            </w:r>
          </w:p>
        </w:tc>
        <!-- End commodity code cell //-->
        <!-- Begin Preferential Quota Duty Rate cell //-->
        <w:tc>
          <w:p>
            <w:pPr>
              <w:pStyle w:val="NormalinTable"/>
            </w:pPr>
            <w:r>
              <!--<w:rPr><w:b/></w:rPr>//-->
              <w:t/>
            </w:r>
          </w:p>
        </w:tc>
        <!-- End Preferential Quota Duty Rate cell //-->
        <!-- Begin Quota Volume cell //-->
        <w:tc>
          <w:p>
            <w:pPr>
              <w:pStyle w:val="NormalinTable"/>
            </w:pPr>
            <w:r>
              <!--<w:rPr><w:b/></w:rPr>//-->
              <w:t/>
            </w:r>
          </w:p>
        </w:tc>
        <!-- End Quota Volume cell //-->
        <!-- Begin Quota Open Date cell //-->
        <w:tc>
          <w:p>
            <w:pPr>
              <w:pStyle w:val="NormalinTable"/>
            </w:pPr>
            <w:r>
              <!--<w:rPr><w:b/></w:rPr>//-->
              <w:t/>
            </w:r>
          </w:p>
        </w:tc>
        <!-- End Quota Open Date cell //-->
        <!-- Begin Quota Close Date cell //-->
        <w:tc>
          <w:p>
            <w:pPr>
              <w:pStyle w:val="NormalinTable"/>
            </w:pPr>
            <w:r>
              <!--<w:rPr><w:b/></w:rPr>//-->
              <w:t/>
            </w:r>
          </w:p>
        </w:tc>
        <!-- End Quota Close Date cell //-->
        <!-- Begin 2019 Quota Volume cell //-->
        <w:tc>
          <w:p>
            <w:pPr>
              <w:pStyle w:val="NormalinTable"/>
            </w:pPr>
            <w:r>
              <!--<w:rPr><w:b/></w:rPr>//-->
              <w:t/>
            </w:r>
          </w:p>
        </w:tc>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30" w:after="3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