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South Africa,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South Africa,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+ 95.000 €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+ 168.800 €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+ 26.600 €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30/04</w:t>
            </w:r>
            <w:r>
              <w:tab/>
              <w:t>Entry Price - 0.00% + Specific 100%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Entry Price - 0.00% + Specific 100%</w:t>
            </w:r>
            <w:r>
              <w:br/>
            </w:r>
            <w:r>
              <w:t>01/07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01/06 to 15/10</w:t>
            </w:r>
            <w:r>
              <w:tab/>
              <w:t>0.00%</w:t>
            </w:r>
            <w:r>
              <w:br/>
            </w:r>
            <w:r>
              <w:t>16/10 to 30/11</w:t>
            </w:r>
            <w:r>
              <w:tab/>
              <w:t>10.20%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28/02</w:t>
            </w:r>
            <w:r>
              <w:tab/>
              <w:t>Entry Price - 0.00% + Specific 100%</w:t>
            </w:r>
            <w:r>
              <w:br/>
            </w:r>
            <w:r>
              <w:t>01/03 to 31/10</w:t>
            </w:r>
            <w:r>
              <w:tab/>
              <w:t>0.00%</w:t>
            </w:r>
            <w:r>
              <w:br/>
            </w:r>
            <w:r>
              <w:t>01/11 to 31/12</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31/10</w:t>
            </w:r>
            <w:r>
              <w:tab/>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0.00%</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20/07</w:t>
            </w:r>
            <w:r>
              <w:tab/>
              <w:t>0.00%</w:t>
            </w:r>
            <w:r>
              <w:br/>
            </w:r>
            <w:r>
              <w:t>01/11 to 20/11</w:t>
            </w:r>
            <w:r>
              <w:tab/>
              <w:t>Entry Price - 0.00% + Specific 100%</w:t>
            </w:r>
            <w:r>
              <w:br/>
            </w:r>
            <w:r>
              <w:t>21/11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01/05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0.00%</w:t>
            </w:r>
            <w:r>
              <w:br/>
            </w:r>
            <w:r>
              <w:t>01/06 to 31/07</w:t>
            </w:r>
            <w:r>
              <w:tab/>
              <w:t>Entry Price - 0.00% + Specific 100%</w:t>
            </w:r>
            <w:r>
              <w:br/>
            </w: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20/05</w:t>
            </w:r>
            <w:r>
              <w:tab/>
              <w:t>0.00%</w:t>
            </w:r>
            <w:r>
              <w:br/>
            </w:r>
            <w:r>
              <w:t>21/05 to 10/08</w:t>
            </w:r>
            <w:r>
              <w:tab/>
              <w:t>Entry Price - 0.00% + Specific 100%</w:t>
            </w:r>
            <w:r>
              <w:br/>
            </w:r>
            <w:r>
              <w:t>11/08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10/06</w:t>
            </w:r>
            <w:r>
              <w:tab/>
              <w:t>0.00%</w:t>
            </w:r>
            <w:r>
              <w:br/>
            </w:r>
            <w:r>
              <w:t>11/06 to 30/09</w:t>
            </w:r>
            <w:r>
              <w:tab/>
              <w:t>Entry Price - 0.00% + Specific 100%</w:t>
            </w:r>
            <w:r>
              <w:br/>
            </w:r>
            <w:r>
              <w:t>01/10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+ 28.400 €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 + 50.700 € / 100 kg / net dry</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 + 27.100 € / 100 kg MAX 17.90%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2.80% + 30.900 € / 100 kg MAX 18.20%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 + 45.100 € / 100 kg MAX 18.90% + 16.500 €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+ 41.900 €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- 10.70%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- 4.80%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+ 14.700 €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+ 17.100 €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+ 20.000 €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+ 33.600 €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+ 46.000 €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+ 25.700 €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+ 18.300 €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+ 24.600 €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+ 31.400 €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+ 15.900 €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+ 60.500 €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24.20%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20.40% + 4.200 €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16.50%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2007 99 33 95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2007 99 39 75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2007 99 50 99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2007 99 97 70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+ 9.400 €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+ 3.800 €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2009 89 99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 + 20.600 €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7.30% + 22.700 €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5.10% + 20.200 € / 100 kg MAX 19.40% + 9.400 €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 + 38.500 € / 100 kg MAX 18.10% + 7.000 €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 + 54.000 € / 100 kg MAX 17.80% + 6.900 €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- 5.50%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+ 21.200 €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- 0.00%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0.000 € / % vol / hl + 4.400 €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0.700 € / % vol / hl + 4.400 €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0.700 € / % vol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4.400 €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3.300 €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2.600 € / hl</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+ 125.800 €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+ 8.900 €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+ 12.400 €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+ 15.100 €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5.00% + 17.700 € / 100 kg MAX 12.80%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+ 16.100 €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+ 37.800 €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 + 23.000 €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9.00% + 53.700 €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0402 10 00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121,000 kg (2019)</w:t>
            </w:r>
          </w:p>
          <w:p>
            <w:pPr>
              <w:pStyle w:val="NormalinTable"/>
            </w:pPr>
            <w:r>
              <w:t>159,000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0405 10 00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121,000 kg (2019)</w:t>
            </w:r>
          </w:p>
          <w:p>
            <w:pPr>
              <w:pStyle w:val="NormalinTable"/>
            </w:pPr>
            <w:r>
              <w:t>159,000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0811 10 90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96,000 kg (2019)</w:t>
            </w:r>
          </w:p>
          <w:p>
            <w:pPr>
              <w:pStyle w:val="NormalinTable"/>
            </w:pPr>
            <w:r>
              <w:t>127,000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96,000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16,730,000 kg (2019)</w:t>
            </w:r>
          </w:p>
          <w:p>
            <w:pPr>
              <w:pStyle w:val="NormalinTable"/>
            </w:pPr>
            <w:r>
              <w:t>22,045,000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16,730,000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1701 99 10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1701 13 10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37,429,000 kg (2019)</w:t>
            </w:r>
          </w:p>
          <w:p>
            <w:pPr>
              <w:pStyle w:val="NormalinTable"/>
            </w:pPr>
            <w:r>
              <w:t>49,320,000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37,429,000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1701 14 10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091818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1702 30 50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121,000 kg (2019)</w:t>
            </w:r>
          </w:p>
          <w:p>
            <w:pPr>
              <w:pStyle w:val="NormalinTable"/>
            </w:pPr>
            <w:r>
              <w:t>159,000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121,000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2007 91 30</w:t>
            </w:r>
          </w:p>
        </w:tc>
        <!-- End commodity code cell //-->
        <!-- Begin Preferential Quota Duty Rate cell //-->
        <w:tc>
          <w:tcPr>
            <w:tcBorders>
              <w:top w:val="single" w:sz="12" w:space="0" w:color="000000" w:themeColor="background1" w:themeShade="00"/>
            </w:tcBorders>
          </w:tcPr>
          <w:tcPr>
            <w:vMerge w:val="restart"/>
          </w:tcPr>
          <w:p>
            <w:pPr>
              <w:pStyle w:val="NormalinTable"/>
            </w:pPr>
            <w:r>
              <w:t>10.00% + 2.100 €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24,000 kg (2019)</w:t>
            </w:r>
          </w:p>
          <w:p>
            <w:pPr>
              <w:pStyle w:val="NormalinTable"/>
            </w:pPr>
            <w:r>
              <w:t>32,000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2007 99 39 16</w:t>
            </w:r>
          </w:p>
        </w:tc>
        <!-- End commodity code cell //-->
        <!-- Begin Preferential Quota Duty Rate cell //-->
        <w:tc>
          <w:tcPr>
            <w:tcBorders>
              <w:top w:val="single" w:sz="12" w:space="0" w:color="000000" w:themeColor="background1" w:themeShade="00"/>
            </w:tcBorders>
          </w:tcPr>
          <w:tcPr>
            <w:vMerge w:val="restart"/>
          </w:tcPr>
          <w:p>
            <w:pPr>
              <w:pStyle w:val="NormalinTable"/>
            </w:pPr>
            <w:r>
              <w:t>9.10% MAX 7.60% + 7.360 €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13,798,000 kg (2019)</w:t>
            </w:r>
          </w:p>
          <w:p>
            <w:pPr>
              <w:pStyle w:val="NormalinTable"/>
            </w:pPr>
            <w:r>
              <w:t>18,181,000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13,798,000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2007 99 39 18</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+ 7.360 €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2007 99 39 26</w:t>
            </w:r>
          </w:p>
        </w:tc>
        <!-- End commodity code cell //-->
        <!-- Begin Preferential Quota Duty Rate cell //-->
        <w:tc>
          <w:tcPr>
            <w:tcBorders>
              <w:top w:val="single" w:sz="4" w:space="0" w:color="666666" w:themeColor="background1" w:themeShade="A6"/>
            </w:tcBorders>
          </w:tcPr>
          <w:tcPr>
            <w:vMerge w:val="restart"/>
          </w:tcPr>
          <w:p>
            <w:pPr>
              <w:pStyle w:val="NormalinTable"/>
            </w:pPr>
            <w:r>
              <w:t>10.80% MAX 7.60% + 7.360 €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2007 99 39 27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2007 99 39 29</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+ 7.360 €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2007 99 39 34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2007 99 39 39</w:t>
            </w:r>
          </w:p>
        </w:tc>
        <!-- End commodity code cell //-->
        <!-- Begin Preferential Quota Duty Rate cell //-->
        <w:tc>
          <w:tcPr>
            <w:tcBorders>
              <w:top w:val="single" w:sz="4" w:space="0" w:color="666666" w:themeColor="background1" w:themeShade="A6"/>
            </w:tcBorders>
          </w:tcPr>
          <w:tcPr>
            <w:vMerge w:val="restart"/>
          </w:tcPr>
          <w:p>
            <w:pPr>
              <w:pStyle w:val="NormalinTable"/>
            </w:pPr>
            <w:r>
              <w:t>9.10% MAX 7.60% + 7.360 €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2007 99 39 46</w:t>
            </w:r>
          </w:p>
        </w:tc>
        <!-- End commodity code cell //-->
        <!-- Begin Preferential Quota Duty Rate cell //-->
        <w:tc>
          <w:tcPr>
            <w:tcBorders>
              <w:top w:val="single" w:sz="4" w:space="0" w:color="666666" w:themeColor="background1" w:themeShade="A6"/>
            </w:tcBorders>
          </w:tcPr>
          <w:tcPr>
            <w:vMerge w:val="restart"/>
          </w:tcPr>
          <w:p>
            <w:pPr>
              <w:pStyle w:val="NormalinTable"/>
            </w:pPr>
            <w:r>
              <w:t>7.10%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2007 99 39 54</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+ 7.360 €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2007 99 39 56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2007 99 50 41</w:t>
            </w:r>
          </w:p>
        </w:tc>
        <!-- End commodity code cell //-->
        <!-- Begin Preferential Quota Duty Rate cell //-->
        <w:tc>
          <w:tcPr>
            <w:tcBorders>
              <w:top w:val="single" w:sz="4" w:space="0" w:color="666666" w:themeColor="background1" w:themeShade="A6"/>
            </w:tcBorders>
          </w:tcPr>
          <w:tcPr>
            <w:vMerge w:val="restart"/>
          </w:tcPr>
          <w:p>
            <w:pPr>
              <w:pStyle w:val="NormalinTable"/>
            </w:pPr>
            <w:r>
              <w:t>9.10%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2007 99 50 42</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2007 99 50 43</w:t>
            </w:r>
          </w:p>
        </w:tc>
        <!-- End commodity code cell //-->
        <!-- Begin Preferential Quota Duty Rate cell //-->
        <w:tc>
          <w:tcPr>
            <w:tcBorders>
              <w:top w:val="single" w:sz="4" w:space="0" w:color="666666" w:themeColor="background1" w:themeShade="A6"/>
            </w:tcBorders>
          </w:tcPr>
          <w:tcPr>
            <w:vMerge w:val="restart"/>
          </w:tcPr>
          <w:p>
            <w:pPr>
              <w:pStyle w:val="NormalinTable"/>
            </w:pPr>
            <w:r>
              <w:t>9.10%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2007 99 50 45</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2007 99 50 47</w:t>
            </w:r>
          </w:p>
        </w:tc>
        <!-- End commodity code cell //-->
        <!-- Begin Preferential Quota Duty Rate cell //-->
        <w:tc>
          <w:tcPr>
            <w:tcBorders>
              <w:top w:val="single" w:sz="4" w:space="0" w:color="666666" w:themeColor="background1" w:themeShade="A6"/>
            </w:tcBorders>
          </w:tcPr>
          <w:tcPr>
            <w:vMerge w:val="restart"/>
          </w:tcPr>
          <w:p>
            <w:pPr>
              <w:pStyle w:val="NormalinTable"/>
            </w:pPr>
            <w:r>
              <w:t>10.80%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2007 99 50 49</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2007 99 50 52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2007 99 50 53</w:t>
            </w:r>
          </w:p>
        </w:tc>
        <!-- End commodity code cell //-->
        <!-- Begin Preferential Quota Duty Rate cell //-->
        <w:tc>
          <w:tcPr>
            <w:tcBorders>
              <w:top w:val="single" w:sz="4" w:space="0" w:color="666666" w:themeColor="background1" w:themeShade="A6"/>
            </w:tcBorders>
          </w:tcPr>
          <w:tcPr>
            <w:vMerge w:val="restart"/>
          </w:tcPr>
          <w:p>
            <w:pPr>
              <w:pStyle w:val="NormalinTable"/>
            </w:pPr>
            <w:r>
              <w:t>9.10%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2007 99 50 62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2007 99 50 64</w:t>
            </w:r>
          </w:p>
        </w:tc>
        <!-- End commodity code cell //-->
        <!-- Begin Preferential Quota Duty Rate cell //-->
        <w:tc>
          <w:tcPr>
            <w:tcBorders>
              <w:top w:val="single" w:sz="4" w:space="0" w:color="666666" w:themeColor="background1" w:themeShade="A6"/>
            </w:tcBorders>
          </w:tcPr>
          <w:tcPr>
            <w:vMerge w:val="restart"/>
          </w:tcPr>
          <w:p>
            <w:pPr>
              <w:pStyle w:val="NormalinTable"/>
            </w:pPr>
            <w:r>
              <w:t>7.10%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2007 99 50 67</w:t>
            </w:r>
          </w:p>
        </w:tc>
        <!-- End commodity code cell //-->
        <!-- Begin Preferential Quota Duty Rate cell //-->
        <w:tc>
          <w:tcPr>
            <w:tcBorders>
              <w:top w:val="single" w:sz="4" w:space="0" w:color="666666" w:themeColor="background1" w:themeShade="A6"/>
            </w:tcBorders>
          </w:tcPr>
          <w:tcPr>
            <w:vMerge w:val="restart"/>
          </w:tcPr>
          <w:p>
            <w:pPr>
              <w:pStyle w:val="NormalinTable"/>
            </w:pPr>
            <w:r>
              <w:t>10.00% MAX 7.60% + 1.344 €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2007 99 97 32</w:t>
            </w:r>
          </w:p>
        </w:tc>
        <!-- End commodity code cell //-->
        <!-- Begin Preferential Quota Duty Rate cell //-->
        <w:tc>
          <w:tcPr>
            <w:tcBorders>
              <w:top w:val="single" w:sz="4" w:space="0" w:color="666666" w:themeColor="background1" w:themeShade="A6"/>
            </w:tcBorders>
          </w:tcPr>
          <w:tcPr>
            <w:vMerge w:val="restart"/>
          </w:tcPr>
          <w:p>
            <w:pPr>
              <w:pStyle w:val="NormalinTable"/>
            </w:pPr>
            <w:r>
              <w:t>7.60%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2007 99 97 39</w:t>
            </w:r>
          </w:p>
        </w:tc>
        <!-- End commodity code cell //-->
        <!-- Begin Preferential Quota Duty Rate cell //-->
        <w:tc>
          <w:tcPr>
            <w:tcBorders>
              <w:top w:val="single" w:sz="4" w:space="0" w:color="666666" w:themeColor="background1" w:themeShade="A6"/>
            </w:tcBorders>
          </w:tcPr>
          <w:tcPr>
            <w:vMerge w:val="restart"/>
          </w:tcPr>
          <w:p>
            <w:pPr>
              <w:pStyle w:val="NormalinTable"/>
            </w:pPr>
            <w:r>
              <w:t>7.10%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2007 99 97 40</w:t>
            </w:r>
          </w:p>
        </w:tc>
        <!-- End commodity code cell //-->
        <!-- Begin Preferential Quota Duty Rate cell //-->
        <w:tc>
          <w:tcPr>
            <w:tcBorders>
              <w:top w:val="single" w:sz="4" w:space="0" w:color="666666" w:themeColor="background1" w:themeShade="A6"/>
            </w:tcBorders>
          </w:tcPr>
          <w:tcPr>
            <w:vMerge w:val="restart"/>
          </w:tcPr>
          <w:p>
            <w:pPr>
              <w:pStyle w:val="NormalinTable"/>
            </w:pPr>
            <w:r>
              <w:t>7.60%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2007 99 97 52</w:t>
            </w:r>
          </w:p>
        </w:tc>
        <!-- End commodity code cell //-->
        <!-- Begin Preferential Quota Duty Rate cell //-->
        <w:tc>
          <w:tcPr>
            <w:tcBorders>
              <w:top w:val="single" w:sz="4" w:space="0" w:color="666666" w:themeColor="background1" w:themeShade="A6"/>
            </w:tcBorders>
          </w:tcPr>
          <w:tcPr>
            <w:vMerge w:val="restart"/>
          </w:tcPr>
          <w:p>
            <w:pPr>
              <w:pStyle w:val="NormalinTable"/>
            </w:pPr>
            <w:r>
              <w:t>7.10%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2007 99 97 57</w:t>
            </w:r>
          </w:p>
        </w:tc>
        <!-- End commodity code cell //-->
        <!-- Begin Preferential Quota Duty Rate cell //-->
        <w:tc>
          <w:tcPr>
            <w:tcBorders>
              <w:top w:val="single" w:sz="4" w:space="0" w:color="666666" w:themeColor="background1" w:themeShade="A6"/>
            </w:tcBorders>
          </w:tcPr>
          <w:tcPr>
            <w:vMerge w:val="restart"/>
          </w:tcPr>
          <w:p>
            <w:pPr>
              <w:pStyle w:val="NormalinTable"/>
            </w:pPr>
            <w:r>
              <w:t>7.60%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2007 99 97 62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2008 40 51</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2008 40 59</w:t>
            </w:r>
          </w:p>
        </w:tc>
        <!-- End commodity code cell //-->
        <!-- Begin Preferential Quota Duty Rate cell //-->
        <w:tc>
          <w:tcPr>
            <w:tcBorders>
              <w:top w:val="single" w:sz="4" w:space="0" w:color="666666" w:themeColor="background1" w:themeShade="A6"/>
            </w:tcBorders>
          </w:tcPr>
          <w:tcPr>
            <w:vMerge w:val="restart"/>
          </w:tcPr>
          <w:p>
            <w:pPr>
              <w:pStyle w:val="NormalinTable"/>
            </w:pPr>
            <w:r>
              <w:t>5.10%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2008 40 71</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2008 40 79</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2008 40 90</w:t>
            </w:r>
          </w:p>
        </w:tc>
        <!-- End commodity code cell //-->
        <!-- Begin Preferential Quota Duty Rate cell //-->
        <w:tc>
          <w:tcPr>
            <w:tcBorders>
              <w:top w:val="single" w:sz="4" w:space="0" w:color="666666" w:themeColor="background1" w:themeShade="A6"/>
            </w:tcBorders>
          </w:tcPr>
          <w:tcPr>
            <w:vMerge w:val="restart"/>
          </w:tcPr>
          <w:p>
            <w:pPr>
              <w:pStyle w:val="NormalinTable"/>
            </w:pPr>
            <w:r>
              <w:t>5.30%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2008 50 61</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2008 50 69</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2008 50 71</w:t>
            </w:r>
          </w:p>
        </w:tc>
        <!-- End commodity code cell //-->
        <!-- Begin Preferential Quota Duty Rate cell //-->
        <w:tc>
          <w:tcPr>
            <w:tcBorders>
              <w:top w:val="single" w:sz="4" w:space="0" w:color="666666" w:themeColor="background1" w:themeShade="A6"/>
            </w:tcBorders>
          </w:tcPr>
          <w:tcPr>
            <w:vMerge w:val="restart"/>
          </w:tcPr>
          <w:p>
            <w:pPr>
              <w:pStyle w:val="NormalinTable"/>
            </w:pPr>
            <w:r>
              <w:t>6.60%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2008 50 79</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2008 50 92</w:t>
            </w:r>
          </w:p>
        </w:tc>
        <!-- End commodity code cell //-->
        <!-- Begin Preferential Quota Duty Rate cell //-->
        <w:tc>
          <w:tcPr>
            <w:tcBorders>
              <w:top w:val="single" w:sz="4" w:space="0" w:color="666666" w:themeColor="background1" w:themeShade="A6"/>
            </w:tcBorders>
          </w:tcPr>
          <w:tcPr>
            <w:vMerge w:val="restart"/>
          </w:tcPr>
          <w:p>
            <w:pPr>
              <w:pStyle w:val="NormalinTable"/>
            </w:pPr>
            <w:r>
              <w:t>4.30%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2008 50 98 11</w:t>
            </w:r>
          </w:p>
        </w:tc>
        <!-- End commodity code cell //-->
        <!-- Begin Preferential Quota Duty Rate cell //-->
        <w:tc>
          <w:tcPr>
            <w:tcBorders>
              <w:top w:val="single" w:sz="4" w:space="0" w:color="666666" w:themeColor="background1" w:themeShade="A6"/>
            </w:tcBorders>
          </w:tcPr>
          <w:tcPr>
            <w:vMerge w:val="restart"/>
          </w:tcPr>
          <w:p>
            <w:pPr>
              <w:pStyle w:val="NormalinTable"/>
            </w:pPr>
            <w:r>
              <w:t>5.40%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2008 50 98 93</w:t>
            </w:r>
          </w:p>
        </w:tc>
        <!-- End commodity code cell //-->
        <!-- Begin Preferential Quota Duty Rate cell //-->
        <w:tc>
          <w:tcPr>
            <w:tcBorders>
              <w:top w:val="single" w:sz="4" w:space="0" w:color="666666" w:themeColor="background1" w:themeShade="A6"/>
            </w:tcBorders>
          </w:tcPr>
          <w:tcPr>
            <w:vMerge w:val="restart"/>
          </w:tcPr>
          <w:p>
            <w:pPr>
              <w:pStyle w:val="NormalinTable"/>
            </w:pPr>
            <w:r>
              <w:t>5.80%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2008 50 98 99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2008 70 61</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2008 70 69</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2008 70 71</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2008 70 79</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2008 70 92</w:t>
            </w:r>
          </w:p>
        </w:tc>
        <!-- End commodity code cell //-->
        <!-- Begin Preferential Quota Duty Rate cell //-->
        <w:tc>
          <w:tcPr>
            <w:tcBorders>
              <w:top w:val="single" w:sz="4" w:space="0" w:color="666666" w:themeColor="background1" w:themeShade="A6"/>
            </w:tcBorders>
          </w:tcPr>
          <w:tcPr>
            <w:vMerge w:val="restart"/>
          </w:tcPr>
          <w:p>
            <w:pPr>
              <w:pStyle w:val="NormalinTable"/>
            </w:pPr>
            <w:r>
              <w:t>4.80%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2008 70 98</w:t>
            </w:r>
          </w:p>
        </w:tc>
        <!-- End commodity code cell //-->
        <!-- Begin Preferential Quota Duty Rate cell //-->
        <w:tc>
          <w:tcPr>
            <w:tcBorders>
              <w:top w:val="single" w:sz="4" w:space="0" w:color="666666" w:themeColor="background1" w:themeShade="A6"/>
            </w:tcBorders>
          </w:tcPr>
          <w:tcPr>
            <w:vMerge w:val="restart"/>
          </w:tcPr>
          <w:p>
            <w:pPr>
              <w:pStyle w:val="NormalinTable"/>
            </w:pPr>
            <w:r>
              <w:t>5.80%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2008 97 59</w:t>
            </w:r>
          </w:p>
        </w:tc>
        <!-- End commodity code cell //-->
        <!-- Begin Preferential Quota Duty Rate cell //-->
        <w:tc>
          <w:tcPr>
            <w:tcBorders>
              <w:top w:val="single" w:sz="4" w:space="0" w:color="666666" w:themeColor="background1" w:themeShade="A6"/>
            </w:tcBorders>
          </w:tcPr>
          <w:tcPr>
            <w:vMerge w:val="restart"/>
          </w:tcPr>
          <w:p>
            <w:pPr>
              <w:pStyle w:val="NormalinTable"/>
            </w:pPr>
            <w:r>
              <w:t>5.60%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2008 97 74</w:t>
            </w:r>
          </w:p>
        </w:tc>
        <!-- End commodity code cell //-->
        <!-- Begin Preferential Quota Duty Rate cell //-->
        <w:tc>
          <w:tcPr>
            <w:tcBorders>
              <w:top w:val="single" w:sz="4" w:space="0" w:color="666666" w:themeColor="background1" w:themeShade="A6"/>
            </w:tcBorders>
          </w:tcPr>
          <w:tcPr>
            <w:vMerge w:val="restart"/>
          </w:tcPr>
          <w:p>
            <w:pPr>
              <w:pStyle w:val="NormalinTable"/>
            </w:pPr>
            <w:r>
              <w:t>4.30%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2008 97 78</w:t>
            </w:r>
          </w:p>
        </w:tc>
        <!-- End commodity code cell //-->
        <!-- Begin Preferential Quota Duty Rate cell //-->
        <w:tc>
          <w:tcPr>
            <w:tcBorders>
              <w:top w:val="single" w:sz="4" w:space="0" w:color="666666" w:themeColor="background1" w:themeShade="A6"/>
            </w:tcBorders>
          </w:tcPr>
          <w:tcPr>
            <w:vMerge w:val="restart"/>
          </w:tcPr>
          <w:p>
            <w:pPr>
              <w:pStyle w:val="NormalinTable"/>
            </w:pPr>
            <w:r>
              <w:t>6.10%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2008 97 98</w:t>
            </w:r>
          </w:p>
        </w:tc>
        <!-- End commodity code cell //-->
        <!-- Begin Preferential Quota Duty Rate cell //-->
        <w:tc>
          <w:tcPr>
            <w:tcBorders>
              <w:top w:val="single" w:sz="4" w:space="0" w:color="666666" w:themeColor="background1" w:themeShade="A6"/>
            </w:tcBorders>
          </w:tcPr>
          <w:tcPr>
            <w:vMerge w:val="restart"/>
          </w:tcPr>
          <w:p>
            <w:pPr>
              <w:pStyle w:val="NormalinTable"/>
            </w:pPr>
            <w:r>
              <w:t>5.80%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2007 99 39 43</w:t>
            </w:r>
          </w:p>
        </w:tc>
        <!-- End commodity code cell //-->
        <!-- Begin Preferential Quota Duty Rate cell //-->
        <w:tc>
          <w:tcPr>
            <w:tcBorders>
              <w:top w:val="single" w:sz="12" w:space="0" w:color="000000" w:themeColor="background1" w:themeShade="00"/>
            </w:tcBorders>
          </w:tcPr>
          <w:tcPr>
            <w:vMerge w:val="restart"/>
          </w:tcPr>
          <w:p>
            <w:pPr>
              <w:pStyle w:val="NormalinTable"/>
            </w:pPr>
            <w:r>
              <w:t>4.90%</w:t>
            </w:r>
          </w:p>
        </w:tc>
        <!-- End Preferential Quota Duty Rate cell //-->
        <!-- Begin Quota Volume cell //-->
        <w:tc>
          <w:tcPr>
            <w:tcBorders>
              <w:top w:val="single" w:sz="12" w:space="0" w:color="000000" w:themeColor="background1" w:themeShade="00"/>
            </w:tcBorders>
          </w:tcPr>
          <w:tcPr>
            <w:vMerge w:val="restart"/>
          </w:tcPr>
          <w:p>
            <w:pPr>
              <w:pStyle w:val="NormalinTable"/>
            </w:pPr>
            <w:r>
              <w:t>758,000 kg (2019)</w:t>
            </w:r>
          </w:p>
          <w:p>
            <w:pPr>
              <w:pStyle w:val="NormalinTable"/>
            </w:pPr>
            <w:r>
              <w:t>999,000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758,000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2007 99 39 44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2008 97 72</w:t>
            </w:r>
          </w:p>
        </w:tc>
        <!-- End commodity code cell //-->
        <!-- Begin Preferential Quota Duty Rate cell //-->
        <w:tc>
          <w:tcPr>
            <w:tcBorders>
              <w:top w:val="single" w:sz="4" w:space="0" w:color="666666" w:themeColor="background1" w:themeShade="A6"/>
            </w:tcBorders>
          </w:tcPr>
          <w:tcPr>
            <w:vMerge w:val="restart"/>
          </w:tcPr>
          <w:p>
            <w:pPr>
              <w:pStyle w:val="NormalinTable"/>
            </w:pPr>
            <w:r>
              <w:t>4.20%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2009 11 99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266,000 kg (2019)</w:t>
            </w:r>
          </w:p>
          <w:p>
            <w:pPr>
              <w:pStyle w:val="NormalinTable"/>
            </w:pPr>
            <w:r>
              <w:t>350,000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266,000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091829</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2009 71 00</w:t>
            </w:r>
          </w:p>
        </w:tc>
        <!-- End commodity code cell //-->
        <!-- Begin Preferential Quota Duty Rate cell //-->
        <w:tc>
          <w:tcPr>
            <w:tcBorders>
              <w:top w:val="single" w:sz="12" w:space="0" w:color="000000" w:themeColor="background1" w:themeShade="00"/>
            </w:tcBorders>
          </w:tcPr>
          <w:tcPr>
            <w:vMerge w:val="restart"/>
          </w:tcPr>
          <w:p>
            <w:pPr>
              <w:pStyle w:val="NormalinTable"/>
            </w:pPr>
            <w:r>
              <w:t>9.00%</w:t>
            </w:r>
          </w:p>
        </w:tc>
        <!-- End Preferential Quota Duty Rate cell //-->
        <!-- Begin Quota Volume cell //-->
        <w:tc>
          <w:tcPr>
            <w:tcBorders>
              <w:top w:val="single" w:sz="12" w:space="0" w:color="000000" w:themeColor="background1" w:themeShade="00"/>
            </w:tcBorders>
          </w:tcPr>
          <w:tcPr>
            <w:vMerge w:val="restart"/>
          </w:tcPr>
          <w:p>
            <w:pPr>
              <w:pStyle w:val="NormalinTable"/>
            </w:pPr>
            <w:r>
              <w:t>924,000 kg (2019)</w:t>
            </w:r>
          </w:p>
          <w:p>
            <w:pPr>
              <w:pStyle w:val="NormalinTable"/>
            </w:pPr>
            <w:r>
              <w:t>1,218,000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924,000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2009 79 11</w:t>
            </w:r>
          </w:p>
        </w:tc>
        <!-- End commodity code cell //-->
        <!-- Begin Preferential Quota Duty Rate cell //-->
        <w:tc>
          <w:tcPr>
            <w:tcBorders>
              <w:top w:val="single" w:sz="4" w:space="0" w:color="666666" w:themeColor="background1" w:themeShade="A6"/>
            </w:tcBorders>
          </w:tcPr>
          <w:tcPr>
            <w:vMerge w:val="restart"/>
          </w:tcPr>
          <w:p>
            <w:pPr>
              <w:pStyle w:val="NormalinTable"/>
            </w:pPr>
            <w:r>
              <w:t>15.00% + 9.200 €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2009 79 19</w:t>
            </w:r>
          </w:p>
        </w:tc>
        <!-- End commodity code cell //-->
        <!-- Begin Preferential Quota Duty Rate cell //-->
        <w:tc>
          <w:tcPr>
            <w:tcBorders>
              <w:top w:val="single" w:sz="4" w:space="0" w:color="666666" w:themeColor="background1" w:themeShade="A6"/>
            </w:tcBorders>
          </w:tcPr>
          <w:tcPr>
            <w:vMerge w:val="restart"/>
          </w:tcPr>
          <w:p>
            <w:pPr>
              <w:pStyle w:val="NormalinTable"/>
            </w:pPr>
            <w:r>
              <w:t>15.00%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2009 79 30</w:t>
            </w:r>
          </w:p>
        </w:tc>
        <!-- End commodity code cell //-->
        <!-- Begin Preferential Quota Duty Rate cell //-->
        <w:tc>
          <w:tcPr>
            <w:tcBorders>
              <w:top w:val="single" w:sz="4" w:space="0" w:color="666666" w:themeColor="background1" w:themeShade="A6"/>
            </w:tcBorders>
          </w:tcPr>
          <w:tcPr>
            <w:vMerge w:val="restart"/>
          </w:tcPr>
          <w:p>
            <w:pPr>
              <w:pStyle w:val="NormalinTable"/>
            </w:pPr>
            <w:r>
              <w:t>9.00%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2009 79 91</w:t>
            </w:r>
          </w:p>
        </w:tc>
        <!-- End commodity code cell //-->
        <!-- Begin Preferential Quota Duty Rate cell //-->
        <w:tc>
          <w:tcPr>
            <w:tcBorders>
              <w:top w:val="single" w:sz="4" w:space="0" w:color="666666" w:themeColor="background1" w:themeShade="A6"/>
            </w:tcBorders>
          </w:tcPr>
          <w:tcPr>
            <w:vMerge w:val="restart"/>
          </w:tcPr>
          <w:p>
            <w:pPr>
              <w:pStyle w:val="NormalinTable"/>
            </w:pPr>
            <w:r>
              <w:t>9.00% + 9.650 € / 100 kg</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tcPr>
            <w:tcBorders>
              <w:top w:val="single" w:sz="4" w:space="0" w:color="666666" w:themeColor="background1" w:themeShade="A6"/>
            </w:tcBorders>
          </w:tcPr>
          <w:p>
            <w:pPr>
              <w:pStyle w:val="NormalinTable"/>
            </w:pPr>
            <w:r>
              <w:t>2009 79 98</w:t>
            </w:r>
          </w:p>
        </w:tc>
        <!-- End commodity code cell //-->
        <!-- Begin Preferential Quota Duty Rate cell //-->
        <w:tc>
          <w:tcPr>
            <w:tcBorders>
              <w:top w:val="single" w:sz="4" w:space="0" w:color="666666" w:themeColor="background1" w:themeShade="A6"/>
            </w:tcBorders>
          </w:tcPr>
          <w:tcPr>
            <w:vMerge w:val="restart"/>
          </w:tcPr>
          <w:p>
            <w:pPr>
              <w:pStyle w:val="NormalinTable"/>
            </w:pPr>
            <w:r>
              <w:t>9.00%</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tcPr>
                        <w:tcBorders>
                            <w:top w:val="single" w:sz="4" w:space="0" w:color="666666" w:themeColor="background1" w:themeShade="A6"/>
                        </w:tcBorders>
                    </w:tcPr>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2102 10 90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84,000 kg (2019)</w:t>
            </w:r>
          </w:p>
          <w:p>
            <w:pPr>
              <w:pStyle w:val="NormalinTable"/>
            </w:pPr>
            <w:r>
              <w:t>111,000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84,000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37,276,473 l (2019)</w:t>
            </w:r>
          </w:p>
          <w:p>
            <w:pPr>
              <w:pStyle w:val="NormalinTable"/>
            </w:pPr>
            <w:r>
              <w:t>49,118,818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37,276,473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15,976,000 l (2019)</w:t>
            </w:r>
          </w:p>
          <w:p>
            <w:pPr>
              <w:pStyle w:val="NormalinTable"/>
            </w:pPr>
            <w:r>
              <w:t>21,050,922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15,976,000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2204 29 98 71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2204 29 98 81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091894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2207 00 00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19,313,000 kg (2019)</w:t>
            </w:r>
          </w:p>
          <w:p>
            <w:pPr>
              <w:pStyle w:val="NormalinTable"/>
            </w:pPr>
            <w:r>
              <w:t>25,448,000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19,313,000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South Africa, version 1.0, dated 5 February 2019</dc:title>
  <dc:subject/>
  <dc:creator>Department for International Trade - Trade Policy Group</dc:creator>
  <cp:keywords>South Africa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