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Turkey,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Turkey,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+ 119.900 €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+ 90.200 €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+ 119.900 €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+ 90.200 €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01/12 to 29/02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18/06 to 20/07</w:t>
            </w:r>
            <w:r>
              <w:tab/>
              <w:t>0.00%</w:t>
            </w:r>
            <w:r>
              <w:br/>
            </w:r>
            <w:r>
              <w:t>21/07 to 31/07</w:t>
            </w:r>
            <w:r>
              <w:tab/>
              <w:t>Entry Price - 0.00% + Specific 100%</w:t>
            </w:r>
            <w:r>
              <w:br/>
            </w:r>
            <w:r>
              <w:t>15/11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0.00%</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10/06</w:t>
            </w:r>
            <w:r>
              <w:tab/>
              <w:t>0.00%</w:t>
            </w:r>
            <w:r>
              <w:br/>
            </w:r>
            <w:r>
              <w:t>11/06 to 15/06</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170.430 €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127.430 €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166.430 €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124.430 €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145.430 €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127.870 €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316,000 kg (2019)</w:t>
            </w:r>
          </w:p>
          <w:p>
            <w:pPr>
              <w:pStyle w:val="NormalinTable"/>
            </w:pPr>
            <w:r>
              <w:t>416,750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316,000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0806 10 10 90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58,000 kg (2019)</w:t>
            </w:r>
          </w:p>
          <w:p>
            <w:pPr>
              <w:pStyle w:val="NormalinTable"/>
            </w:pPr>
            <w:r>
              <w:t>58,345 kg</w:t>
            </w:r>
          </w:p>
        </w:tc>
        <!-- End Quota Volume cell //-->
        <!-- Begin Quota Open Date cell //-->
        <w:tc>
          <w:tcPr>
            <w:tcBorders>
              <w:top w:val="single" w:sz="12" w:space="0" w:color="000000" w:themeColor="background1" w:themeShade="00"/>
            </w:tcBorders>
          </w:tcPr>
          <w:tcPr>
            <w:vMerge w:val="restart"/>
          </w:tcPr>
          <w:p>
            <w:pPr>
              <w:pStyle w:val="NormalinTable"/>
            </w:pPr>
            <w:r>
              <w:t>01/05/2019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14/11/2019</w:t>
            </w:r>
            <!--OPT//-->
            <w:r>
              <w:br/>
            </w:r>
            <!--OPT//-->
            <w:r>
              <w:t>14/11</w:t>
            </w:r>
          </w:p>
        </w:tc>
        <!-- End Quota Close Date cell //-->
        <!-- Begin 2019 Quota Volume cell //-->
        <!--
				<w:tc>
                    <w:tcPr>
                        <w:tcBorders>
                            <w:top w:val="single" w:sz="12" w:space="0" w:color="000000" w:themeColor="background1" w:themeShade="00"/>
                        </w:tcBorders>
                    </w:tcPr>
					<w:p>
						<w:pPr>
							<w:pStyle w:val="NormalinTable"/>
						</w:pPr>
						<w:r>
							<w:t>58,000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7.50%</w:t>
            </w:r>
          </w:p>
        </w:tc>
        <!-- End Preferential Quota Duty Rate cell //-->
        <!-- Begin Quota Volume cell //-->
        <w:tc>
          <w:tcPr>
            <w:tcBorders>
              <w:top w:val="single" w:sz="12" w:space="0" w:color="000000" w:themeColor="background1" w:themeShade="00"/>
            </w:tcBorders>
          </w:tcPr>
          <w:tcPr>
            <w:vMerge w:val="restart"/>
          </w:tcPr>
          <w:p>
            <w:pPr>
              <w:pStyle w:val="NormalinTable"/>
            </w:pPr>
            <w:r>
              <w:t>13,000 kg (2019)</w:t>
            </w:r>
          </w:p>
          <w:p>
            <w:pPr>
              <w:pStyle w:val="NormalinTable"/>
            </w:pPr>
            <w:r>
              <w:t>16,670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1509 10 80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+ 1.380 €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221,000 kg (2019)</w:t>
            </w:r>
          </w:p>
          <w:p>
            <w:pPr>
              <w:pStyle w:val="NormalinTable"/>
            </w:pPr>
            <w:r>
              <w:t>291,725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2007 91 10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+ 7.590 €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2007 91 30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+ 1.380 €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2007 99 20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+ 6.500 €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2007 99 31</w:t>
            </w:r>
          </w:p>
        </w:tc>
        <!-- End commodity code cell //-->
        <!-- Begin Preferential Quota Duty Rate cell //-->
        <w:tc>
          <w:tcPr>
            <w:tcBorders>
              <w:top w:val="single" w:sz="4" w:space="0" w:color="666666" w:themeColor="background1" w:themeShade="A6"/>
            </w:tcBorders>
          </w:tcPr>
          <w:tcPr>
            <w:vMerge w:val="restart"/>
          </w:tcPr>
          <w:p>
            <w:pPr>
              <w:pStyle w:val="NormalinTable"/>
            </w:pPr>
            <w:r>
              <w:t>0.00% + 7.590 €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+ 1.380 €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0703 10 11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278,000 kg (2019)</w:t>
            </w:r>
          </w:p>
          <w:p>
            <w:pPr>
              <w:pStyle w:val="NormalinTable"/>
            </w:pPr>
            <w:r>
              <w:t>333,400 kg</w:t>
            </w:r>
          </w:p>
        </w:tc>
        <!-- End Quota Volume cell //-->
        <!-- Begin Quota Open Date cell //-->
        <w:tc>
          <w:tcPr>
            <w:tcBorders>
              <w:top w:val="single" w:sz="12" w:space="0" w:color="000000" w:themeColor="background1" w:themeShade="00"/>
            </w:tcBorders>
          </w:tcPr>
          <w:tcPr>
            <w:vMerge w:val="restart"/>
          </w:tcPr>
          <w:p>
            <w:pPr>
              <w:pStyle w:val="NormalinTable"/>
            </w:pPr>
            <w:r>
              <w:t>16/05/2019</w:t>
            </w:r>
            <!--OPT//-->
            <w:r>
              <w:br/>
            </w:r>
            <!--OPT//-->
            <w:r>
              <w:t>16/05</w:t>
            </w:r>
          </w:p>
        </w:tc>
        <!-- End Quota Open Date cell //-->
        <!-- Begin Quota Close Date cell //-->
        <w:tc>
          <w:tcPr>
            <w:tcBorders>
              <w:top w:val="single" w:sz="12" w:space="0" w:color="000000" w:themeColor="background1" w:themeShade="00"/>
            </w:tcBorders>
          </w:tcPr>
          <w:tcPr>
            <w:vMerge w:val="restart"/>
          </w:tcPr>
          <w:p>
            <w:pPr>
              <w:pStyle w:val="NormalinTable"/>
            </w:pPr>
            <w:r>
              <w:t>14/02/2020</w:t>
            </w:r>
            <!--OPT//-->
            <w:r>
              <w:br/>
            </w:r>
            <!--OPT//-->
            <w:r>
              <w:t>14/02</w:t>
            </w:r>
          </w:p>
        </w:tc>
        <!-- End Quota Close Date cell //-->
        <!-- Begin 2019 Quota Volume cell //-->
        <!--
				<w:tc>
                    <w:tcPr>
                        <w:tcBorders>
                            <w:top w:val="single" w:sz="12" w:space="0" w:color="000000" w:themeColor="background1" w:themeShade="00"/>
                        </w:tcBorders>
                    </w:tcPr>
					<w:p>
						<w:pPr>
							<w:pStyle w:val="NormalinTable"/>
						</w:pPr>
						<w:r>
							<w:t>278,000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0703 10 19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2008 30 19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+ 4.200 €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266,000 kg (2019)</w:t>
            </w:r>
          </w:p>
          <w:p>
            <w:pPr>
              <w:pStyle w:val="NormalinTable"/>
            </w:pPr>
            <w:r>
              <w:t>350,070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266,000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2008 50 92</w:t>
            </w:r>
          </w:p>
        </w:tc>
        <!-- End commodity code cell //-->
        <!-- Begin Preferential Quota Duty Rate cell //-->
        <w:tc>
          <w:tcPr>
            <w:tcBorders>
              <w:top w:val="single" w:sz="4" w:space="0" w:color="666666" w:themeColor="background1" w:themeShade="A6"/>
            </w:tcBorders>
          </w:tcPr>
          <w:tcPr>
            <w:vMerge w:val="restart"/>
          </w:tcPr>
          <w:p>
            <w:pPr>
              <w:pStyle w:val="NormalinTable"/>
            </w:pPr>
            <w:r>
              <w:t>0.00%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2008 60 19</w:t>
            </w:r>
          </w:p>
        </w:tc>
        <!-- End commodity code cell //-->
        <!-- Begin Preferential Quota Duty Rate cell //-->
        <w:tc>
          <w:tcPr>
            <w:tcBorders>
              <w:top w:val="single" w:sz="4" w:space="0" w:color="666666" w:themeColor="background1" w:themeShade="A6"/>
            </w:tcBorders>
          </w:tcPr>
          <w:tcPr>
            <w:vMerge w:val="restart"/>
          </w:tcPr>
          <w:p>
            <w:pPr>
              <w:pStyle w:val="NormalinTable"/>
            </w:pPr>
            <w:r>
              <w:t>0.00% + 4.200 €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2008 80 19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158,000 kg (2019)</w:t>
            </w:r>
          </w:p>
          <w:p>
            <w:pPr>
              <w:pStyle w:val="NormalinTable"/>
            </w:pPr>
            <w:r>
              <w:t>166,700 kg</w:t>
            </w:r>
          </w:p>
        </w:tc>
        <!-- End Quota Volume cell //-->
        <!-- Begin Quota Open Date cell //-->
        <w:tc>
          <w:tcPr>
            <w:tcBorders>
              <w:top w:val="single" w:sz="12" w:space="0" w:color="000000" w:themeColor="background1" w:themeShade="00"/>
            </w:tcBorders>
          </w:tcPr>
          <w:tcPr>
            <w:vMerge w:val="restart"/>
          </w:tcPr>
          <w:p>
            <w:pPr>
              <w:pStyle w:val="NormalinTable"/>
            </w:pPr>
            <w:r>
              <w:t>16/05/2019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14/01/2020</w:t>
            </w:r>
            <!--OPT//-->
            <w:r>
              <w:br/>
            </w:r>
            <!--OPT//-->
            <w:r>
              <w:t>14/01</w:t>
            </w:r>
          </w:p>
        </w:tc>
        <!-- End Quota Close Date cell //-->
        <!-- Begin 2019 Quota Volume cell //-->
        <!--
				<w:tc>
                    <w:tcPr>
                        <w:tcBorders>
                            <w:top w:val="single" w:sz="12" w:space="0" w:color="000000" w:themeColor="background1" w:themeShade="00"/>
                        </w:tcBorders>
                    </w:tcPr>
					<w:p>
						<w:pPr>
							<w:pStyle w:val="NormalinTable"/>
						</w:pPr>
						<w:r>
							<w:t>158,000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+ 6.790 €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430,000 kg (2019)</w:t>
            </w:r>
          </w:p>
          <w:p>
            <w:pPr>
              <w:pStyle w:val="NormalinTable"/>
            </w:pPr>
            <w:r>
              <w:t>566,780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430,000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2009 61 90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+ 8.910 € / hl</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2009 69 11</w:t>
            </w:r>
          </w:p>
        </w:tc>
        <!-- End commodity code cell //-->
        <!-- Begin Preferential Quota Duty Rate cell //-->
        <w:tc>
          <w:tcPr>
            <w:tcBorders>
              <w:top w:val="single" w:sz="4" w:space="0" w:color="666666" w:themeColor="background1" w:themeShade="A6"/>
            </w:tcBorders>
          </w:tcPr>
          <w:tcPr>
            <w:vMerge w:val="restart"/>
          </w:tcPr>
          <w:p>
            <w:pPr>
              <w:pStyle w:val="NormalinTable"/>
            </w:pPr>
            <w:r>
              <w:t>0.00% + 39.930 € / hl + 6.790 €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2009 69 79</w:t>
            </w:r>
          </w:p>
        </w:tc>
        <!-- End commodity code cell //-->
        <!-- Begin Preferential Quota Duty Rate cell //-->
        <w:tc>
          <w:tcPr>
            <w:tcBorders>
              <w:top w:val="single" w:sz="4" w:space="0" w:color="666666" w:themeColor="background1" w:themeShade="A6"/>
            </w:tcBorders>
          </w:tcPr>
          <w:tcPr>
            <w:vMerge w:val="restart"/>
          </w:tcPr>
          <w:p>
            <w:pPr>
              <w:pStyle w:val="NormalinTable"/>
            </w:pPr>
            <w:r>
              <w:t>0.00% + 8.910 € / hl + 6.790 €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2009 69 90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+ 8.910 € / hl</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2009 81 11</w:t>
            </w:r>
          </w:p>
        </w:tc>
        <!-- End commodity code cell //-->
        <!-- Begin Preferential Quota Duty Rate cell //-->
        <w:tc>
          <w:tcPr>
            <w:tcBorders>
              <w:top w:val="single" w:sz="4" w:space="0" w:color="666666" w:themeColor="background1" w:themeShade="A6"/>
            </w:tcBorders>
          </w:tcPr>
          <w:tcPr>
            <w:vMerge w:val="restart"/>
          </w:tcPr>
          <w:p>
            <w:pPr>
              <w:pStyle w:val="NormalinTable"/>
            </w:pPr>
            <w:r>
              <w:t>0.00% + 6.790 €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2009 89 34</w:t>
            </w:r>
          </w:p>
        </w:tc>
        <!-- End commodity code cell //-->
        <!-- Begin Preferential Quota Duty Rate cell //-->
        <w:tc>
          <w:tcPr>
            <w:tcBorders>
              <w:top w:val="single" w:sz="4" w:space="0" w:color="666666" w:themeColor="background1" w:themeShade="A6"/>
            </w:tcBorders>
          </w:tcPr>
          <w:tcPr>
            <w:vMerge w:val="restart"/>
          </w:tcPr>
          <w:p>
            <w:pPr>
              <w:pStyle w:val="NormalinTable"/>
            </w:pPr>
            <w:r>
              <w:t>0.00% + 4.250 €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2009 89 35</w:t>
            </w:r>
          </w:p>
        </w:tc>
        <!-- End commodity code cell //-->
        <!-- Begin Preferential Quota Duty Rate cell //-->
        <w:tc>
          <w:tcPr>
            <w:tcBorders>
              <w:top w:val="single" w:sz="4" w:space="0" w:color="666666" w:themeColor="background1" w:themeShade="A6"/>
            </w:tcBorders>
          </w:tcPr>
          <w:tcPr>
            <w:vMerge w:val="restart"/>
          </w:tcPr>
          <w:p>
            <w:pPr>
              <w:pStyle w:val="NormalinTable"/>
            </w:pPr>
            <w:r>
              <w:t>0.00% + 6.790 €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2009 89 85</w:t>
            </w:r>
          </w:p>
        </w:tc>
        <!-- End commodity code cell //-->
        <!-- Begin Preferential Quota Duty Rate cell //-->
        <w:tc>
          <w:tcPr>
            <w:tcBorders>
              <w:top w:val="single" w:sz="4" w:space="0" w:color="666666" w:themeColor="background1" w:themeShade="A6"/>
            </w:tcBorders>
          </w:tcPr>
          <w:tcPr>
            <w:vMerge w:val="restart"/>
          </w:tcPr>
          <w:p>
            <w:pPr>
              <w:pStyle w:val="NormalinTable"/>
            </w:pPr>
            <w:r>
              <w:t>0.00% + 4.250 €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2009 89 86</w:t>
            </w:r>
          </w:p>
        </w:tc>
        <!-- End commodity code cell //-->
        <!-- Begin Preferential Quota Duty Rate cell //-->
        <w:tc>
          <w:tcPr>
            <w:tcBorders>
              <w:top w:val="single" w:sz="4" w:space="0" w:color="666666" w:themeColor="background1" w:themeShade="A6"/>
            </w:tcBorders>
          </w:tcPr>
          <w:tcPr>
            <w:vMerge w:val="restart"/>
          </w:tcPr>
          <w:p>
            <w:pPr>
              <w:pStyle w:val="NormalinTable"/>
            </w:pPr>
            <w:r>
              <w:t>0.00% + 6.790 €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2009 90 92</w:t>
            </w:r>
          </w:p>
        </w:tc>
        <!-- End commodity code cell //-->
        <!-- Begin Preferential Quota Duty Rate cell //-->
        <w:tc>
          <w:tcPr>
            <w:tcBorders>
              <w:top w:val="single" w:sz="4" w:space="0" w:color="666666" w:themeColor="background1" w:themeShade="A6"/>
            </w:tcBorders>
          </w:tcPr>
          <w:tcPr>
            <w:vMerge w:val="restart"/>
          </w:tcPr>
          <w:p>
            <w:pPr>
              <w:pStyle w:val="NormalinTable"/>
            </w:pPr>
            <w:r>
              <w:t>0.00% + 4.250 €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2009 90 94</w:t>
            </w:r>
          </w:p>
        </w:tc>
        <!-- End commodity code cell //-->
        <!-- Begin Preferential Quota Duty Rate cell //-->
        <w:tc>
          <w:tcPr>
            <w:tcBorders>
              <w:top w:val="single" w:sz="4" w:space="0" w:color="666666" w:themeColor="background1" w:themeShade="A6"/>
            </w:tcBorders>
          </w:tcPr>
          <w:tcPr>
            <w:vMerge w:val="restart"/>
          </w:tcPr>
          <w:p>
            <w:pPr>
              <w:pStyle w:val="NormalinTable"/>
            </w:pPr>
            <w:r>
              <w:t>0.00% + 6.790 €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0709 93 10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75,000 kg (2019)</w:t>
            </w:r>
          </w:p>
          <w:p>
            <w:pPr>
              <w:pStyle w:val="NormalinTable"/>
            </w:pPr>
            <w:r>
              <w:t>83,350 kg</w:t>
            </w:r>
          </w:p>
        </w:tc>
        <!-- End Quota Volume cell //-->
        <!-- Begin Quota Open Date cell //-->
        <w:tc>
          <w:tcPr>
            <w:tcBorders>
              <w:top w:val="single" w:sz="12" w:space="0" w:color="000000" w:themeColor="background1" w:themeShade="00"/>
            </w:tcBorders>
          </w:tcPr>
          <w:tcPr>
            <w:vMerge w:val="restart"/>
          </w:tcPr>
          <w:p>
            <w:pPr>
              <w:pStyle w:val="NormalinTable"/>
            </w:pPr>
            <w:r>
              <w:t>01/11/2019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30/11/2019</w:t>
            </w:r>
            <!--OPT//-->
            <w:r>
              <w:br/>
            </w:r>
            <!--OPT//-->
            <w:r>
              <w:t>30/11</w:t>
            </w:r>
          </w:p>
        </w:tc>
        <!-- End Quota Close Date cell //-->
        <!-- Begin 2019 Quota Volume cell //-->
        <!--
				<w:tc>
                    <w:tcPr>
                        <w:tcBorders>
                            <w:top w:val="single" w:sz="12" w:space="0" w:color="000000" w:themeColor="background1" w:themeShade="00"/>
                        </w:tcBorders>
                    </w:tcPr>
					<w:p>
						<w:pPr>
							<w:pStyle w:val="NormalinTable"/>
						</w:pPr>
						<w:r>
							<w:t>75,000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0811 10 11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13,000 kg (2019)</w:t>
            </w:r>
          </w:p>
          <w:p>
            <w:pPr>
              <w:pStyle w:val="NormalinTable"/>
            </w:pPr>
            <w:r>
              <w:t>16,670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0811 20 11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1,126,000 kg (2019)</w:t>
            </w:r>
          </w:p>
          <w:p>
            <w:pPr>
              <w:pStyle w:val="NormalinTable"/>
            </w:pPr>
            <w:r>
              <w:t>1,483,630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1,126,000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2007 91 30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13,000 kg (2019)</w:t>
            </w:r>
          </w:p>
          <w:p>
            <w:pPr>
              <w:pStyle w:val="NormalinTable"/>
            </w:pPr>
            <w:r>
              <w:t>16,670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2007 99 39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13,000 kg (2019)</w:t>
            </w:r>
          </w:p>
          <w:p>
            <w:pPr>
              <w:pStyle w:val="NormalinTable"/>
            </w:pPr>
            <w:r>
              <w:t>16,670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25,000 kg (2019)</w:t>
            </w:r>
          </w:p>
          <w:p>
            <w:pPr>
              <w:pStyle w:val="NormalinTable"/>
            </w:pPr>
            <w:r>
              <w:t>33,340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0406 90 29</w:t>
            </w:r>
          </w:p>
        </w:tc>
        <!-- End commodity code cell //-->
        <!-- Begin Preferential Quota Duty Rate cell //-->
        <w:tc>
          <w:tcPr>
            <w:tcBorders>
              <w:top w:val="single" w:sz="12" w:space="0" w:color="000000" w:themeColor="background1" w:themeShade="00"/>
            </w:tcBorders>
          </w:tcPr>
          <w:tcPr>
            <w:vMerge w:val="restart"/>
          </w:tcPr>
          <w:p>
            <w:pPr>
              <w:pStyle w:val="NormalinTable"/>
            </w:pPr>
            <w:r>
              <w:t>0.000 €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291,000 kg (2019)</w:t>
            </w:r>
          </w:p>
          <w:p>
            <w:pPr>
              <w:pStyle w:val="NormalinTable"/>
            </w:pPr>
            <w:r>
              <w:t>383,410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291,000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0207 25 10</w:t>
            </w:r>
          </w:p>
        </w:tc>
        <!-- End commodity code cell //-->
        <!-- Begin Preferential Quota Duty Rate cell //-->
        <w:tc>
          <w:tcPr>
            <w:tcBorders>
              <w:top w:val="single" w:sz="12" w:space="0" w:color="000000" w:themeColor="background1" w:themeShade="00"/>
            </w:tcBorders>
          </w:tcPr>
          <w:tcPr>
            <w:vMerge w:val="restart"/>
          </w:tcPr>
          <w:p>
            <w:pPr>
              <w:pStyle w:val="NormalinTable"/>
            </w:pPr>
            <w:r>
              <w:t>170.000 €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127,000 kg (2019)</w:t>
            </w:r>
          </w:p>
          <w:p>
            <w:pPr>
              <w:pStyle w:val="NormalinTable"/>
            </w:pPr>
            <w:r>
              <w:t>166,700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0207 25 90</w:t>
            </w:r>
          </w:p>
        </w:tc>
        <!-- End commodity code cell //-->
        <!-- Begin Preferential Quota Duty Rate cell //-->
        <w:tc>
          <w:tcPr>
            <w:tcBorders>
              <w:top w:val="single" w:sz="4" w:space="0" w:color="666666" w:themeColor="background1" w:themeShade="A6"/>
            </w:tcBorders>
          </w:tcPr>
          <w:tcPr>
            <w:vMerge w:val="restart"/>
          </w:tcPr>
          <w:p>
            <w:pPr>
              <w:pStyle w:val="NormalinTable"/>
            </w:pPr>
            <w:r>
              <w:t>186.000 € / tonne</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0207 27 30</w:t>
            </w:r>
          </w:p>
        </w:tc>
        <!-- End commodity code cell //-->
        <!-- Begin Preferential Quota Duty Rate cell //-->
        <w:tc>
          <w:tcPr>
            <w:tcBorders>
              <w:top w:val="single" w:sz="4" w:space="0" w:color="666666" w:themeColor="background1" w:themeShade="A6"/>
            </w:tcBorders>
          </w:tcPr>
          <w:tcPr>
            <w:vMerge w:val="restart"/>
          </w:tcPr>
          <w:p>
            <w:pPr>
              <w:pStyle w:val="NormalinTable"/>
            </w:pPr>
            <w:r>
              <w:t>134.000 € / tonne</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0207 27 40</w:t>
            </w:r>
          </w:p>
        </w:tc>
        <!-- End commodity code cell //-->
        <!-- Begin Preferential Quota Duty Rate cell //-->
        <w:tc>
          <w:tcPr>
            <w:tcBorders>
              <w:top w:val="single" w:sz="4" w:space="0" w:color="666666" w:themeColor="background1" w:themeShade="A6"/>
            </w:tcBorders>
          </w:tcPr>
          <w:tcPr>
            <w:vMerge w:val="restart"/>
          </w:tcPr>
          <w:p>
            <w:pPr>
              <w:pStyle w:val="NormalinTable"/>
            </w:pPr>
            <w:r>
              <w:t>93.000 € / tonne</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0207 27 50</w:t>
            </w:r>
          </w:p>
        </w:tc>
        <!-- End commodity code cell //-->
        <!-- Begin Preferential Quota Duty Rate cell //-->
        <w:tc>
          <w:tcPr>
            <w:tcBorders>
              <w:top w:val="single" w:sz="4" w:space="0" w:color="666666" w:themeColor="background1" w:themeShade="A6"/>
            </w:tcBorders>
          </w:tcPr>
          <w:tcPr>
            <w:vMerge w:val="restart"/>
          </w:tcPr>
          <w:p>
            <w:pPr>
              <w:pStyle w:val="NormalinTable"/>
            </w:pPr>
            <w:r>
              <w:t>339.000 € / tonne</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0207 27 60</w:t>
            </w:r>
          </w:p>
        </w:tc>
        <!-- End commodity code cell //-->
        <!-- Begin Preferential Quota Duty Rate cell //-->
        <w:tc>
          <w:tcPr>
            <w:tcBorders>
              <w:top w:val="single" w:sz="4" w:space="0" w:color="666666" w:themeColor="background1" w:themeShade="A6"/>
            </w:tcBorders>
          </w:tcPr>
          <w:tcPr>
            <w:vMerge w:val="restart"/>
          </w:tcPr>
          <w:p>
            <w:pPr>
              <w:pStyle w:val="NormalinTable"/>
            </w:pPr>
            <w:r>
              <w:t>127.000 € / tonne</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0207 27 70</w:t>
            </w:r>
          </w:p>
        </w:tc>
        <!-- End commodity code cell //-->
        <!-- Begin Preferential Quota Duty Rate cell //-->
        <w:tc>
          <w:tcPr>
            <w:tcBorders>
              <w:top w:val="single" w:sz="4" w:space="0" w:color="666666" w:themeColor="background1" w:themeShade="A6"/>
            </w:tcBorders>
          </w:tcPr>
          <w:tcPr>
            <w:vMerge w:val="restart"/>
          </w:tcPr>
          <w:p>
            <w:pPr>
              <w:pStyle w:val="NormalinTable"/>
            </w:pPr>
            <w:r>
              <w:t>230.000 € / tonne</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25,000 kg (2019)</w:t>
            </w:r>
          </w:p>
          <w:p>
            <w:pPr>
              <w:pStyle w:val="NormalinTable"/>
            </w:pPr>
            <w:r>
              <w:t>33,340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25,000 kg (2019)</w:t>
            </w:r>
          </w:p>
          <w:p>
            <w:pPr>
              <w:pStyle w:val="NormalinTable"/>
            </w:pPr>
            <w:r>
              <w:t>33,340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Turkey, version 1.0, dated 5 February 2019</dc:title>
  <dc:subject/>
  <dc:creator>Department for International Trade - Trade Policy Group</dc:creator>
  <cp:keywords>Turkey</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