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11</w:t>
      </w:r>
      <w:r>
        <w:br/>
        <w:t>Products Of The Milling Industry; Malt; Starches; Inulin; Wheat Gluten</w:t>
      </w:r>
    </w:p>
    <w:p>
      <w:pPr>
        <w:pStyle w:val="Heading3"/>
      </w:pPr>
      <w:r>
        <w:t>Chapter Notes</w:t>
      </w:r>
    </w:p>
    <w:p>
      <w:r>
        <w:t>1. This chapter does not cover:</w:t>
      </w:r>
    </w:p>
    <w:p>
      <w:pPr>
        <w:pStyle w:val="ListBullet"/>
      </w:pPr>
      <w:r>
        <w:t xml:space="preserve">roasted malt put up as coffee substitutes (heading 0901 or 2101);</w:t>
      </w:r>
    </w:p>
    <w:p>
      <w:pPr>
        <w:pStyle w:val="ListBullet"/>
      </w:pPr>
      <w:r>
        <w:t xml:space="preserve">prepared flours, groats, meals or starches of heading 1901;</w:t>
      </w:r>
    </w:p>
    <w:p>
      <w:pPr>
        <w:pStyle w:val="ListBullet"/>
      </w:pPr>
      <w:r>
        <w:t xml:space="preserve">corn flakes and other products of heading 1904;</w:t>
      </w:r>
    </w:p>
    <w:p>
      <w:pPr>
        <w:pStyle w:val="ListBullet"/>
      </w:pPr>
      <w:r>
        <w:t xml:space="preserve">vegetables, prepared or preserved, of heading 2001, 2004 or 2005;</w:t>
      </w:r>
    </w:p>
    <w:p>
      <w:pPr>
        <w:pStyle w:val="ListBullet"/>
      </w:pPr>
      <w:r>
        <w:t xml:space="preserve">pharmaceutical products (Chapter 30); or</w:t>
      </w:r>
    </w:p>
    <w:p>
      <w:pPr>
        <w:pStyle w:val="ListBullet"/>
      </w:pPr>
      <w:r>
        <w:t xml:space="preserve">starches having the character of perfumery, cosmetic or toilet preparations (Chapter 33).</w:t>
      </w:r>
    </w:p>
    <w:p>
      <w:r>
        <w:t>2. (A). Products from the milling of the cereals listed in the table below fall in this chapter if they have, by weight on the dry product:</w:t>
      </w:r>
    </w:p>
    <w:p>
      <w:pPr>
        <w:pStyle w:val="ListBullet"/>
      </w:pPr>
      <w:r>
        <w:t xml:space="preserve">a starch content (determined by the modified Ewers polarimetric method) exceeding that indicated in column 2; and</w:t>
      </w:r>
    </w:p>
    <w:p>
      <w:pPr>
        <w:pStyle w:val="ListBullet"/>
      </w:pPr>
      <w:r>
        <w:t xml:space="preserve">an ash content (after deduction of any added minerals) not exceeding that indicated in column 3.</w:t>
      </w:r>
    </w:p>
    <w:p>
      <w:pPr>
        <w:pStyle w:val="ListBullet"/>
      </w:pPr>
      <w:r>
        <w:t xml:space="preserve">Otherwise, they fall in heading 2302.</w:t>
      </w:r>
    </w:p>
    <w:p>
      <w:pPr>
        <w:pStyle w:val="ListBullet"/>
      </w:pPr>
      <w:r>
        <w:t xml:space="preserve">_However, germ of cereals, whole, rolled, flaked or ground, is always classified in heading 1104._</w:t>
      </w:r>
    </w:p>
    <w:p>
      <w:pPr>
        <w:pStyle w:val="ListBullet"/>
      </w:pPr>
      <w:r>
        <w:t xml:space="preserve">(B).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r>
        <w:t>Otherwise, they fall in heading 1103 or 1104.</w:t>
      </w:r>
    </w:p>
    <w:p>
      <w:r>
        <w:t>3. For the purposes of heading 1103, the terms 'groats' and 'meal' mean products obtained by the fragmentation of cereal grains, of which:</w:t>
      </w:r>
    </w:p>
    <w:p>
      <w:pPr>
        <w:pStyle w:val="ListBullet"/>
      </w:pPr>
      <w:r>
        <w:t xml:space="preserve">in the case of maize (corn) products, at least 95% by weight passes through a woven metal wire cloth sieve with an aperture of 2mm;</w:t>
      </w:r>
    </w:p>
    <w:p>
      <w:pPr>
        <w:pStyle w:val="ListBullet"/>
      </w:pPr>
      <w:r>
        <w:t xml:space="preserve">in the case of other cereal products, at least 95% by weight passes through a woven metal wire cloth sieve with an aperture of 1.25mm.</w:t>
      </w:r>
    </w:p>
    <w:p>
      <w:r>
        <w:t/>
      </w:r>
    </w:p>
    <w:p>
      <w:pPr>
        <w:pStyle w:val="Heading3"/>
      </w:pPr>
      <w:r>
        <w:t> Additional notes </w:t>
      </w:r>
    </w:p>
    <w:p>
      <w:r>
        <w:t/>
      </w:r>
    </w:p>
    <w:p>
      <w:r>
        <w:t>1. The duty rate applicable to mixtures of this chapter shall be as follows:</w:t>
      </w:r>
    </w:p>
    <w:p>
      <w:pPr>
        <w:pStyle w:val="ListBullet"/>
      </w:pPr>
      <w:r>
        <w:t xml:space="preserve">in mixtures where one of the components represents at least 90% by weight, the rate applicable to that component applies.</w:t>
      </w:r>
    </w:p>
    <w:p>
      <w:pPr>
        <w:pStyle w:val="ListBullet"/>
      </w:pPr>
      <w:r>
        <w:t xml:space="preserve">in other mixtures, the rate applicable shall be that of the component which results in the highest amount of import duty.</w:t>
      </w:r>
    </w:p>
    <w:p>
      <w:r>
        <w:t>2.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pPr>
        <w:pStyle w:val="ListBullet"/>
      </w:pPr>
      <w:r>
        <w:t xml:space="preserve">in the case of dried leguminous vegetables, sago, roots, tubers and products of Chapter 8 (excluding nuts of headings 0801 and 0802), at least 95% by weight passes through a woven metal wire cloth sieve with an aperture of 2 mm;</w:t>
      </w:r>
    </w:p>
    <w:p>
      <w:pPr>
        <w:pStyle w:val="ListBullet"/>
      </w:pPr>
      <w:r>
        <w:t xml:space="preserve">in the case of nuts of headings 0801 and 0802 at least 50% by weight passes through a woven metal wire cloth sieve with an aperture of 2.5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Wheat flour</w:t>
              <!--//-->
            </w:r>
          </w:p>
        </w:tc>
      </w:tr>
      <w:tr>
        <w:trPr>
          <w:cantSplit/>
        </w:trPr>
        <w:tc>
          <w:p>
            <w:pPr>
              <w:pStyle w:val="NormalinTable"/>
            </w:pPr>
            <w:r>
              <w:rPr>
                <w:b/>
              </w:rPr>
              <w:t>1101 00 11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
            </w:r>
          </w:p>
        </w:tc>
      </w:tr>
      <w:tr>
        <w:trPr>
          <w:cantSplit/>
        </w:trPr>
        <w:tc>
          <w:p>
            <w:pPr>
              <w:pStyle w:val="NormalinTable"/>
            </w:pPr>
            <w:r>
              <w:rPr>
                <w:b/>
              </w:rPr>
              <w:t>1101 00 15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
            </w:r>
          </w:p>
        </w:tc>
      </w:tr>
      <w:tr>
        <w:trPr>
          <w:cantSplit/>
        </w:trPr>
        <w:tc>
          <w:p>
            <w:pPr>
              <w:pStyle w:val="NormalinTable"/>
            </w:pPr>
            <w:r>
              <w:rPr>
                <w:b/>
              </w:rPr>
              <w:t>1101 00 90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Meslin flour</w:t>
              <!--//-->
            </w:r>
          </w:p>
        </w:tc>
      </w:tr>
      <w:tr>
        <w:trPr>
          <w:cantSplit/>
        </w:trPr>
        <w:tc>
          <w:p>
            <w:pPr>
              <w:pStyle w:val="NormalinTable"/>
            </w:pPr>
            <w:r>
              <w:rPr>
                <w:b/>
              </w:rPr>
              <w:t>1102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
            </w:r>
          </w:p>
        </w:tc>
      </w:tr>
      <w:tr>
        <w:trPr>
          <w:cantSplit/>
        </w:trPr>
        <w:tc>
          <w:p>
            <w:pPr>
              <w:pStyle w:val="NormalinTable"/>
            </w:pPr>
            <w:r>
              <w:rPr>
                <w:b/>
              </w:rPr>
              <w:t>1102 20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Maize (corn) flour</w:t>
              <!--//-->
            </w:r>
          </w:p>
        </w:tc>
      </w:tr>
      <w:tr>
        <w:trPr>
          <w:cantSplit/>
        </w:trPr>
        <w:tc>
          <w:p>
            <w:pPr>
              <w:pStyle w:val="NormalinTable"/>
            </w:pPr>
            <w:r>
              <w:rPr>
                <w:b/>
              </w:rPr>
              <w:t>1102 20 10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 by weight</w:t>
              <!--//-->
            </w:r>
          </w:p>
        </w:tc>
      </w:tr>
      <w:tr>
        <w:trPr>
          <w:cantSplit/>
        </w:trPr>
        <w:tc>
          <w:p>
            <w:pPr>
              <w:pStyle w:val="NormalinTable"/>
            </w:pPr>
            <w:r>
              <w:rPr>
                <w:b/>
              </w:rPr>
              <w:t>1102 20 90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1102 90 10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
            </w:r>
          </w:p>
        </w:tc>
      </w:tr>
      <w:tr>
        <w:trPr>
          <w:cantSplit/>
        </w:trPr>
        <w:tc>
          <w:p>
            <w:pPr>
              <w:pStyle w:val="NormalinTable"/>
            </w:pPr>
            <w:r>
              <w:rPr>
                <w:b/>
              </w:rPr>
              <w:t>1102 90 30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
            </w:r>
          </w:p>
        </w:tc>
      </w:tr>
      <w:tr>
        <w:trPr>
          <w:cantSplit/>
        </w:trPr>
        <w:tc>
          <w:p>
            <w:pPr>
              <w:pStyle w:val="NormalinTable"/>
            </w:pPr>
            <w:r>
              <w:rPr>
                <w:b/>
              </w:rPr>
              <w:t>1102 90 50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
            </w:r>
          </w:p>
        </w:tc>
      </w:tr>
      <w:tr>
        <w:trPr>
          <w:cantSplit/>
        </w:trPr>
        <w:tc>
          <w:p>
            <w:pPr>
              <w:pStyle w:val="NormalinTable"/>
            </w:pPr>
            <w:r>
              <w:rPr>
                <w:b/>
              </w:rPr>
              <w:t>1102 90 70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
            </w:r>
          </w:p>
        </w:tc>
      </w:tr>
      <w:tr>
        <w:trPr>
          <w:cantSplit/>
        </w:trPr>
        <w:tc>
          <w:p>
            <w:pPr>
              <w:pStyle w:val="NormalinTable"/>
            </w:pPr>
            <w:r>
              <w:rPr>
                <w:b/>
              </w:rPr>
              <w:t>1102 90 90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Groats and meal</w:t>
              <!--//-->
            </w:r>
          </w:p>
        </w:tc>
      </w:tr>
      <w:tr>
        <w:trPr>
          <w:cantSplit/>
        </w:trPr>
        <w:tc>
          <w:p>
            <w:pPr>
              <w:pStyle w:val="NormalinTable"/>
            </w:pPr>
            <w:r>
              <w:rPr>
                <w:b/>
              </w:rPr>
              <w:t>1103 11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w:r>
          </w:p>
        </w:tc>
      </w:tr>
      <w:tr>
        <w:trPr>
          <w:cantSplit/>
        </w:trPr>
        <w:tc>
          <w:p>
            <w:pPr>
              <w:pStyle w:val="NormalinTable"/>
            </w:pPr>
            <w:r>
              <w:rPr>
                <w:b/>
              </w:rPr>
              <w:t>1103 11 10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
            </w:r>
          </w:p>
        </w:tc>
      </w:tr>
      <w:tr>
        <w:trPr>
          <w:cantSplit/>
        </w:trPr>
        <w:tc>
          <w:p>
            <w:pPr>
              <w:pStyle w:val="NormalinTable"/>
            </w:pPr>
            <w:r>
              <w:rPr>
                <w:b/>
              </w:rPr>
              <w:t>1103 11 90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
            </w:r>
          </w:p>
        </w:tc>
      </w:tr>
      <w:tr>
        <w:trPr>
          <w:cantSplit/>
        </w:trPr>
        <w:tc>
          <w:p>
            <w:pPr>
              <w:pStyle w:val="NormalinTable"/>
            </w:pPr>
            <w:r>
              <w:rPr>
                <w:b/>
              </w:rPr>
              <w:t>1103 13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
            </w:r>
          </w:p>
        </w:tc>
      </w:tr>
      <w:tr>
        <w:trPr>
          <w:cantSplit/>
        </w:trPr>
        <w:tc>
          <w:p>
            <w:pPr>
              <w:pStyle w:val="NormalinTable"/>
            </w:pPr>
            <w:r>
              <w:rPr>
                <w:b/>
              </w:rPr>
              <w:t>1103 13 10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 by weight</w:t>
              <!--//-->
            </w:r>
          </w:p>
        </w:tc>
      </w:tr>
      <w:tr>
        <w:trPr>
          <w:cantSplit/>
        </w:trPr>
        <w:tc>
          <w:p>
            <w:pPr>
              <w:pStyle w:val="NormalinTable"/>
            </w:pPr>
            <w:r>
              <w:rPr>
                <w:b/>
              </w:rPr>
              <w:t>1103 13 90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w:r>
          </w:p>
        </w:tc>
      </w:tr>
      <w:tr>
        <w:trPr>
          <w:cantSplit/>
        </w:trPr>
        <w:tc>
          <w:p>
            <w:pPr>
              <w:pStyle w:val="NormalinTable"/>
            </w:pPr>
            <w:r>
              <w:rPr>
                <w:b/>
              </w:rPr>
              <w:t>1103 19 20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
            </w:r>
          </w:p>
        </w:tc>
      </w:tr>
      <w:tr>
        <w:trPr>
          <w:cantSplit/>
        </w:trPr>
        <w:tc>
          <w:p>
            <w:pPr>
              <w:pStyle w:val="NormalinTable"/>
            </w:pPr>
            <w:r>
              <w:rPr>
                <w:b/>
              </w:rPr>
              <w:t>1103 19 20 10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barley</w:t>
              <!--//-->
            </w:r>
          </w:p>
        </w:tc>
      </w:tr>
      <w:tr>
        <w:trPr>
          <w:cantSplit/>
        </w:trPr>
        <w:tc>
          <w:p>
            <w:pPr>
              <w:pStyle w:val="NormalinTable"/>
            </w:pPr>
            <w:r>
              <w:rPr>
                <w:b/>
              </w:rPr>
              <w:t>1103 19 20 90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1103 19 40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
            </w:r>
          </w:p>
        </w:tc>
      </w:tr>
      <w:tr>
        <w:trPr>
          <w:cantSplit/>
        </w:trPr>
        <w:tc>
          <w:p>
            <w:pPr>
              <w:pStyle w:val="NormalinTable"/>
            </w:pPr>
            <w:r>
              <w:rPr>
                <w:b/>
              </w:rPr>
              <w:t>1103 19 50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
            </w:r>
          </w:p>
        </w:tc>
      </w:tr>
      <w:tr>
        <w:trPr>
          <w:cantSplit/>
        </w:trPr>
        <w:tc>
          <w:p>
            <w:pPr>
              <w:pStyle w:val="NormalinTable"/>
            </w:pPr>
            <w:r>
              <w:rPr>
                <w:b/>
              </w:rPr>
              <w:t>1103 19 90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Pellets</w:t>
              <!--//-->
            </w:r>
          </w:p>
        </w:tc>
      </w:tr>
      <w:tr>
        <w:trPr>
          <w:cantSplit/>
        </w:trPr>
        <w:tc>
          <w:p>
            <w:pPr>
              <w:pStyle w:val="NormalinTable"/>
            </w:pPr>
            <w:r>
              <w:rPr>
                <w:b/>
              </w:rPr>
              <w:t>1103 20 25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
            </w:r>
          </w:p>
        </w:tc>
      </w:tr>
      <w:tr>
        <w:trPr>
          <w:cantSplit/>
        </w:trPr>
        <w:tc>
          <w:p>
            <w:pPr>
              <w:pStyle w:val="NormalinTable"/>
            </w:pPr>
            <w:r>
              <w:rPr>
                <w:b/>
              </w:rPr>
              <w:t>1103 20 25 10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
            </w:r>
          </w:p>
        </w:tc>
      </w:tr>
      <w:tr>
        <w:trPr>
          <w:cantSplit/>
        </w:trPr>
        <w:tc>
          <w:p>
            <w:pPr>
              <w:pStyle w:val="NormalinTable"/>
            </w:pPr>
            <w:r>
              <w:rPr>
                <w:b/>
              </w:rPr>
              <w:t>1103 20 25 90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
            </w:r>
          </w:p>
        </w:tc>
      </w:tr>
      <w:tr>
        <w:trPr>
          <w:cantSplit/>
        </w:trPr>
        <w:tc>
          <w:p>
            <w:pPr>
              <w:pStyle w:val="NormalinTable"/>
            </w:pPr>
            <w:r>
              <w:rPr>
                <w:b/>
              </w:rPr>
              <w:t>1103 20 30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
            </w:r>
          </w:p>
        </w:tc>
      </w:tr>
      <w:tr>
        <w:trPr>
          <w:cantSplit/>
        </w:trPr>
        <w:tc>
          <w:p>
            <w:pPr>
              <w:pStyle w:val="NormalinTable"/>
            </w:pPr>
            <w:r>
              <w:rPr>
                <w:b/>
              </w:rPr>
              <w:t>1103 20 40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
            </w:r>
          </w:p>
        </w:tc>
      </w:tr>
      <w:tr>
        <w:trPr>
          <w:cantSplit/>
        </w:trPr>
        <w:tc>
          <w:p>
            <w:pPr>
              <w:pStyle w:val="NormalinTable"/>
            </w:pPr>
            <w:r>
              <w:rPr>
                <w:b/>
              </w:rPr>
              <w:t>1103 20 50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
            </w:r>
          </w:p>
        </w:tc>
      </w:tr>
      <w:tr>
        <w:trPr>
          <w:cantSplit/>
        </w:trPr>
        <w:tc>
          <w:p>
            <w:pPr>
              <w:pStyle w:val="NormalinTable"/>
            </w:pPr>
            <w:r>
              <w:rPr>
                <w:b/>
              </w:rPr>
              <w:t>1103 20 60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w:r>
          </w:p>
        </w:tc>
      </w:tr>
      <w:tr>
        <w:trPr>
          <w:cantSplit/>
        </w:trPr>
        <w:tc>
          <w:p>
            <w:pPr>
              <w:pStyle w:val="NormalinTable"/>
            </w:pPr>
            <w:r>
              <w:rPr>
                <w:b/>
              </w:rPr>
              <w:t>1103 20 90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Rolled or flaked grains</w:t>
              <!--//-->
            </w:r>
          </w:p>
        </w:tc>
      </w:tr>
      <w:tr>
        <w:trPr>
          <w:cantSplit/>
        </w:trPr>
        <w:tc>
          <w:p>
            <w:pPr>
              <w:pStyle w:val="NormalinTable"/>
            </w:pPr>
            <w:r>
              <w:rPr>
                <w:b/>
              </w:rPr>
              <w:t>1104 12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
            </w:r>
          </w:p>
        </w:tc>
      </w:tr>
      <w:tr>
        <w:trPr>
          <w:cantSplit/>
        </w:trPr>
        <w:tc>
          <w:p>
            <w:pPr>
              <w:pStyle w:val="NormalinTable"/>
            </w:pPr>
            <w:r>
              <w:rPr>
                <w:b/>
              </w:rPr>
              <w:t>1104 12 10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
            </w:r>
          </w:p>
        </w:tc>
      </w:tr>
      <w:tr>
        <w:trPr>
          <w:cantSplit/>
        </w:trPr>
        <w:tc>
          <w:p>
            <w:pPr>
              <w:pStyle w:val="NormalinTable"/>
            </w:pPr>
            <w:r>
              <w:rPr>
                <w:b/>
              </w:rPr>
              <w:t>1104 12 90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
            </w:r>
          </w:p>
        </w:tc>
      </w:tr>
      <w:tr>
        <w:trPr>
          <w:cantSplit/>
        </w:trPr>
        <w:tc>
          <w:p>
            <w:pPr>
              <w:pStyle w:val="NormalinTable"/>
            </w:pPr>
            <w:r>
              <w:rPr>
                <w:b/>
              </w:rPr>
              <w:t>1104 19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w:r>
          </w:p>
        </w:tc>
      </w:tr>
      <w:tr>
        <w:trPr>
          <w:cantSplit/>
        </w:trPr>
        <w:tc>
          <w:p>
            <w:pPr>
              <w:pStyle w:val="NormalinTable"/>
            </w:pPr>
            <w:r>
              <w:rPr>
                <w:b/>
              </w:rPr>
              <w:t>1104 19 10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
            </w:r>
          </w:p>
        </w:tc>
      </w:tr>
      <w:tr>
        <w:trPr>
          <w:cantSplit/>
        </w:trPr>
        <w:tc>
          <w:p>
            <w:pPr>
              <w:pStyle w:val="NormalinTable"/>
            </w:pPr>
            <w:r>
              <w:rPr>
                <w:b/>
              </w:rPr>
              <w:t>1104 19 30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
            </w:r>
          </w:p>
        </w:tc>
      </w:tr>
      <w:tr>
        <w:trPr>
          <w:cantSplit/>
        </w:trPr>
        <w:tc>
          <w:p>
            <w:pPr>
              <w:pStyle w:val="NormalinTable"/>
            </w:pPr>
            <w:r>
              <w:rPr>
                <w:b/>
              </w:rPr>
              <w:t>1104 19 50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
            </w:r>
          </w:p>
        </w:tc>
      </w:tr>
      <w:tr>
        <w:trPr>
          <w:cantSplit/>
        </w:trPr>
        <w:tc>
          <w:p>
            <w:pPr>
              <w:pStyle w:val="NormalinTable"/>
            </w:pPr>
            <w:r>
              <w:rPr>
                <w:b/>
              </w:rPr>
              <w:t>1104 19 61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
            </w:r>
          </w:p>
        </w:tc>
      </w:tr>
      <w:tr>
        <w:trPr>
          <w:cantSplit/>
        </w:trPr>
        <w:tc>
          <w:p>
            <w:pPr>
              <w:pStyle w:val="NormalinTable"/>
            </w:pPr>
            <w:r>
              <w:rPr>
                <w:b/>
              </w:rPr>
              <w:t>1104 19 69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
            </w:r>
          </w:p>
        </w:tc>
      </w:tr>
      <w:tr>
        <w:trPr>
          <w:cantSplit/>
        </w:trPr>
        <w:tc>
          <w:p>
            <w:pPr>
              <w:pStyle w:val="NormalinTable"/>
            </w:pPr>
            <w:r>
              <w:rPr>
                <w:b/>
              </w:rPr>
              <w:t>1104 19 99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worked grains (for example, hulled, pearled, sliced or kibbled)</w:t>
              <!--//-->
            </w:r>
          </w:p>
        </w:tc>
      </w:tr>
      <w:tr>
        <w:trPr>
          <w:cantSplit/>
        </w:trPr>
        <w:tc>
          <w:p>
            <w:pPr>
              <w:pStyle w:val="NormalinTable"/>
            </w:pPr>
            <w:r>
              <w:rPr>
                <w:b/>
              </w:rPr>
              <w:t>1104 22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
            </w:r>
          </w:p>
        </w:tc>
      </w:tr>
      <w:tr>
        <w:trPr>
          <w:cantSplit/>
        </w:trPr>
        <w:tc>
          <w:p>
            <w:pPr>
              <w:pStyle w:val="NormalinTable"/>
            </w:pPr>
            <w:r>
              <w:rPr>
                <w:b/>
              </w:rPr>
              <w:t>1104 22 40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
            </w:r>
          </w:p>
        </w:tc>
      </w:tr>
      <w:tr>
        <w:trPr>
          <w:cantSplit/>
        </w:trPr>
        <w:tc>
          <w:p>
            <w:pPr>
              <w:pStyle w:val="NormalinTable"/>
            </w:pPr>
            <w:r>
              <w:rPr>
                <w:b/>
              </w:rPr>
              <w:t>1104 22 50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
            </w:r>
          </w:p>
        </w:tc>
      </w:tr>
      <w:tr>
        <w:trPr>
          <w:cantSplit/>
        </w:trPr>
        <w:tc>
          <w:p>
            <w:pPr>
              <w:pStyle w:val="NormalinTable"/>
            </w:pPr>
            <w:r>
              <w:rPr>
                <w:b/>
              </w:rPr>
              <w:t>1104 22 95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
            </w:r>
          </w:p>
        </w:tc>
      </w:tr>
      <w:tr>
        <w:trPr>
          <w:cantSplit/>
        </w:trPr>
        <w:tc>
          <w:p>
            <w:pPr>
              <w:pStyle w:val="NormalinTable"/>
            </w:pPr>
            <w:r>
              <w:rPr>
                <w:b/>
              </w:rPr>
              <w:t>1104 23 40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
            </w:r>
          </w:p>
        </w:tc>
      </w:tr>
      <w:tr>
        <w:trPr>
          <w:cantSplit/>
        </w:trPr>
        <w:tc>
          <w:p>
            <w:pPr>
              <w:pStyle w:val="NormalinTable"/>
            </w:pPr>
            <w:r>
              <w:rPr>
                <w:b/>
              </w:rPr>
              <w:t>1104 23 98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
            </w:r>
          </w:p>
        </w:tc>
      </w:tr>
      <w:tr>
        <w:trPr>
          <w:cantSplit/>
        </w:trPr>
        <w:tc>
          <w:p>
            <w:pPr>
              <w:pStyle w:val="NormalinTable"/>
            </w:pPr>
            <w:r>
              <w:rPr>
                <w:b/>
              </w:rPr>
              <w:t>1104 29 04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
            </w:r>
          </w:p>
        </w:tc>
      </w:tr>
      <w:tr>
        <w:trPr>
          <w:cantSplit/>
        </w:trPr>
        <w:tc>
          <w:p>
            <w:pPr>
              <w:pStyle w:val="NormalinTable"/>
            </w:pPr>
            <w:r>
              <w:rPr>
                <w:b/>
              </w:rPr>
              <w:t>1104 29 05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
            </w:r>
          </w:p>
        </w:tc>
      </w:tr>
      <w:tr>
        <w:trPr>
          <w:cantSplit/>
        </w:trPr>
        <w:tc>
          <w:p>
            <w:pPr>
              <w:pStyle w:val="NormalinTable"/>
            </w:pPr>
            <w:r>
              <w:rPr>
                <w:b/>
              </w:rPr>
              <w:t>1104 29 08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1104 29 17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
            </w:r>
          </w:p>
        </w:tc>
      </w:tr>
      <w:tr>
        <w:trPr>
          <w:cantSplit/>
        </w:trPr>
        <w:tc>
          <w:p>
            <w:pPr>
              <w:pStyle w:val="NormalinTable"/>
            </w:pPr>
            <w:r>
              <w:rPr>
                <w:b/>
              </w:rPr>
              <w:t>1104 29 17 50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
            </w:r>
          </w:p>
        </w:tc>
      </w:tr>
      <w:tr>
        <w:trPr>
          <w:cantSplit/>
        </w:trPr>
        <w:tc>
          <w:p>
            <w:pPr>
              <w:pStyle w:val="NormalinTable"/>
            </w:pPr>
            <w:r>
              <w:rPr>
                <w:b/>
              </w:rPr>
              <w:t>1104 29 17 90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1104 29 30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
            </w:r>
          </w:p>
        </w:tc>
      </w:tr>
      <w:tr>
        <w:trPr>
          <w:cantSplit/>
        </w:trPr>
        <w:tc>
          <w:p>
            <w:pPr>
              <w:pStyle w:val="NormalinTable"/>
            </w:pPr>
            <w:r>
              <w:rPr>
                <w:b/>
              </w:rPr>
              <w:t>1104 29 30 50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
            </w:r>
          </w:p>
        </w:tc>
      </w:tr>
      <w:tr>
        <w:trPr>
          <w:cantSplit/>
        </w:trPr>
        <w:tc>
          <w:p>
            <w:pPr>
              <w:pStyle w:val="NormalinTable"/>
            </w:pPr>
            <w:r>
              <w:rPr>
                <w:b/>
              </w:rPr>
              <w:t>1104 29 30 90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
            </w:r>
          </w:p>
        </w:tc>
      </w:tr>
      <w:tr>
        <w:trPr>
          <w:cantSplit/>
        </w:trPr>
        <w:tc>
          <w:p>
            <w:pPr>
              <w:pStyle w:val="NormalinTable"/>
            </w:pPr>
            <w:r>
              <w:rPr>
                <w:b/>
              </w:rPr>
              <w:t>1104 29 51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
            </w:r>
          </w:p>
        </w:tc>
      </w:tr>
      <w:tr>
        <w:trPr>
          <w:cantSplit/>
        </w:trPr>
        <w:tc>
          <w:p>
            <w:pPr>
              <w:pStyle w:val="NormalinTable"/>
            </w:pPr>
            <w:r>
              <w:rPr>
                <w:b/>
              </w:rPr>
              <w:t>1104 29 55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
            </w:r>
          </w:p>
        </w:tc>
      </w:tr>
      <w:tr>
        <w:trPr>
          <w:cantSplit/>
        </w:trPr>
        <w:tc>
          <w:p>
            <w:pPr>
              <w:pStyle w:val="NormalinTable"/>
            </w:pPr>
            <w:r>
              <w:rPr>
                <w:b/>
              </w:rPr>
              <w:t>1104 29 59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1104 29 81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
            </w:r>
          </w:p>
        </w:tc>
      </w:tr>
      <w:tr>
        <w:trPr>
          <w:cantSplit/>
        </w:trPr>
        <w:tc>
          <w:p>
            <w:pPr>
              <w:pStyle w:val="NormalinTable"/>
            </w:pPr>
            <w:r>
              <w:rPr>
                <w:b/>
              </w:rPr>
              <w:t>1104 29 85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
            </w:r>
          </w:p>
        </w:tc>
      </w:tr>
      <w:tr>
        <w:trPr>
          <w:cantSplit/>
        </w:trPr>
        <w:tc>
          <w:p>
            <w:pPr>
              <w:pStyle w:val="NormalinTable"/>
            </w:pPr>
            <w:r>
              <w:rPr>
                <w:b/>
              </w:rPr>
              <w:t>1104 29 89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Germ of cereals, whole, rolled, flaked or ground</w:t>
              <!--//-->
            </w:r>
          </w:p>
        </w:tc>
      </w:tr>
      <w:tr>
        <w:trPr>
          <w:cantSplit/>
        </w:trPr>
        <w:tc>
          <w:p>
            <w:pPr>
              <w:pStyle w:val="NormalinTable"/>
            </w:pPr>
            <w:r>
              <w:rPr>
                <w:b/>
              </w:rPr>
              <w:t>1104 30 10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w:r>
          </w:p>
        </w:tc>
      </w:tr>
      <w:tr>
        <w:trPr>
          <w:cantSplit/>
        </w:trPr>
        <w:tc>
          <w:p>
            <w:pPr>
              <w:pStyle w:val="NormalinTable"/>
            </w:pPr>
            <w:r>
              <w:rPr>
                <w:b/>
              </w:rPr>
              <w:t>1104 30 90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w:r>
          </w:p>
        </w:tc>
      </w:tr>
      <w:tr>
        <w:trPr>
          <w:cantSplit/>
        </w:trPr>
        <w:tc>
          <w:p>
            <w:pPr>
              <w:pStyle w:val="NormalinTable"/>
            </w:pPr>
            <w:r>
              <w:rPr>
                <w:b/>
              </w:rPr>
              <w:t>1105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
            </w:r>
          </w:p>
        </w:tc>
      </w:tr>
      <w:tr>
        <w:trPr>
          <w:cantSplit/>
        </w:trPr>
        <w:tc>
          <w:p>
            <w:pPr>
              <w:pStyle w:val="NormalinTable"/>
            </w:pPr>
            <w:r>
              <w:rPr>
                <w:b/>
              </w:rPr>
              <w:t>1105 10 00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Flour, meal and powder</w:t>
              <!--//-->
            </w:r>
          </w:p>
        </w:tc>
      </w:tr>
      <w:tr>
        <w:trPr>
          <w:cantSplit/>
        </w:trPr>
        <w:tc>
          <w:p>
            <w:pPr>
              <w:pStyle w:val="NormalinTable"/>
            </w:pPr>
            <w:r>
              <w:rPr>
                <w:b/>
              </w:rPr>
              <w:t>1105 20 00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Flakes, granules and pellets</w:t>
              <!--//-->
            </w:r>
          </w:p>
        </w:tc>
      </w:tr>
      <w:tr>
        <w:trPr>
          <w:cantSplit/>
        </w:trPr>
        <w:tc>
          <w:p>
            <w:pPr>
              <w:pStyle w:val="NormalinTable"/>
            </w:pPr>
            <w:r>
              <w:rPr>
                <w:b/>
              </w:rPr>
              <w:t>1106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
            </w:r>
          </w:p>
        </w:tc>
      </w:tr>
      <w:tr>
        <w:trPr>
          <w:cantSplit/>
        </w:trPr>
        <w:tc>
          <w:p>
            <w:pPr>
              <w:pStyle w:val="NormalinTable"/>
            </w:pPr>
            <w:r>
              <w:rPr>
                <w:b/>
              </w:rPr>
              <w:t>1106 10 00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the dried leguminous vegetables of heading 0713</w:t>
              <!--//-->
            </w:r>
          </w:p>
        </w:tc>
      </w:tr>
      <w:tr>
        <w:trPr>
          <w:cantSplit/>
        </w:trPr>
        <w:tc>
          <w:p>
            <w:pPr>
              <w:pStyle w:val="NormalinTable"/>
            </w:pPr>
            <w:r>
              <w:rPr>
                <w:b/>
              </w:rPr>
              <w:t>1106 20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sago or of roots or tubers of heading 0714</w:t>
              <!--//-->
            </w:r>
          </w:p>
        </w:tc>
      </w:tr>
      <w:tr>
        <w:trPr>
          <w:cantSplit/>
        </w:trPr>
        <w:tc>
          <w:p>
            <w:pPr>
              <w:pStyle w:val="NormalinTable"/>
            </w:pPr>
            <w:r>
              <w:rPr>
                <w:b/>
              </w:rPr>
              <w:t>1106 20 10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
            </w:r>
          </w:p>
        </w:tc>
      </w:tr>
      <w:tr>
        <w:trPr>
          <w:cantSplit/>
        </w:trPr>
        <w:tc>
          <w:p>
            <w:pPr>
              <w:pStyle w:val="NormalinTable"/>
            </w:pPr>
            <w:r>
              <w:rPr>
                <w:b/>
              </w:rPr>
              <w:t>1106 20 90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1106 30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the products of Chapter 8</w:t>
              <!--//-->
            </w:r>
          </w:p>
        </w:tc>
      </w:tr>
      <w:tr>
        <w:trPr>
          <w:cantSplit/>
        </w:trPr>
        <w:tc>
          <w:p>
            <w:pPr>
              <w:pStyle w:val="NormalinTable"/>
            </w:pPr>
            <w:r>
              <w:rPr>
                <w:b/>
              </w:rPr>
              <w:t>1106 30 10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
            </w:r>
          </w:p>
        </w:tc>
      </w:tr>
      <w:tr>
        <w:trPr>
          <w:cantSplit/>
        </w:trPr>
        <w:tc>
          <w:p>
            <w:pPr>
              <w:pStyle w:val="NormalinTable"/>
            </w:pPr>
            <w:r>
              <w:rPr>
                <w:b/>
              </w:rPr>
              <w:t>1106 30 90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1106 30 90 30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watermelon (egusi, Citrullus spp.) seeds</w:t>
              <!--//-->
            </w:r>
          </w:p>
        </w:tc>
      </w:tr>
      <w:tr>
        <w:trPr>
          <w:cantSplit/>
        </w:trPr>
        <w:tc>
          <w:p>
            <w:pPr>
              <w:pStyle w:val="NormalinTable"/>
            </w:pPr>
            <w:r>
              <w:rPr>
                <w:b/>
              </w:rPr>
              <w:t>1106 30 90 40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hazelnuts</w:t>
              <!--//-->
            </w:r>
          </w:p>
        </w:tc>
      </w:tr>
      <w:tr>
        <w:trPr>
          <w:cantSplit/>
        </w:trPr>
        <w:tc>
          <w:p>
            <w:pPr>
              <w:pStyle w:val="NormalinTable"/>
            </w:pPr>
            <w:r>
              <w:rPr>
                <w:b/>
              </w:rPr>
              <w:t>1106 30 90 50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pistachios</w:t>
              <!--//-->
            </w:r>
          </w:p>
        </w:tc>
      </w:tr>
      <w:tr>
        <w:trPr>
          <w:cantSplit/>
        </w:trPr>
        <w:tc>
          <w:p>
            <w:pPr>
              <w:pStyle w:val="NormalinTable"/>
            </w:pPr>
            <w:r>
              <w:rPr>
                <w:b/>
              </w:rPr>
              <w:t>1106 30 90 80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
            </w:r>
          </w:p>
        </w:tc>
      </w:tr>
      <w:tr>
        <w:trPr>
          <w:cantSplit/>
        </w:trPr>
        <w:tc>
          <w:p>
            <w:pPr>
              <w:pStyle w:val="NormalinTable"/>
            </w:pPr>
            <w:r>
              <w:rPr>
                <w:b/>
              </w:rPr>
              <w:t>1107 10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roasted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w:r>
          </w:p>
        </w:tc>
      </w:tr>
      <w:tr>
        <w:trPr>
          <w:cantSplit/>
        </w:trPr>
        <w:tc>
          <w:p>
            <w:pPr>
              <w:pStyle w:val="NormalinTable"/>
            </w:pPr>
            <w:r>
              <w:rPr>
                <w:b/>
              </w:rPr>
              <w:t>1107 10 11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
            </w:r>
          </w:p>
        </w:tc>
      </w:tr>
      <w:tr>
        <w:trPr>
          <w:cantSplit/>
        </w:trPr>
        <w:tc>
          <w:p>
            <w:pPr>
              <w:pStyle w:val="NormalinTable"/>
            </w:pPr>
            <w:r>
              <w:rPr>
                <w:b/>
              </w:rPr>
              <w:t>1107 10 19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1107 10 91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
            </w:r>
          </w:p>
        </w:tc>
      </w:tr>
      <w:tr>
        <w:trPr>
          <w:cantSplit/>
        </w:trPr>
        <w:tc>
          <w:p>
            <w:pPr>
              <w:pStyle w:val="NormalinTable"/>
            </w:pPr>
            <w:r>
              <w:rPr>
                <w:b/>
              </w:rPr>
              <w:t>1107 10 99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Roasted</w:t>
              <!--//-->
            </w:r>
          </w:p>
        </w:tc>
      </w:tr>
      <w:tr>
        <w:trPr>
          <w:cantSplit/>
        </w:trPr>
        <w:tc>
          <w:p>
            <w:pPr>
              <w:pStyle w:val="NormalinTable"/>
            </w:pPr>
            <w:r>
              <w:rPr>
                <w:b/>
              </w:rPr>
              <w:t>1108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Starches</w:t>
              <!--//-->
            </w:r>
          </w:p>
        </w:tc>
      </w:tr>
      <w:tr>
        <w:trPr>
          <w:cantSplit/>
        </w:trPr>
        <w:tc>
          <w:p>
            <w:pPr>
              <w:pStyle w:val="NormalinTable"/>
            </w:pPr>
            <w:r>
              <w:rPr>
                <w:b/>
              </w:rPr>
              <w:t>1108 11 00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
            </w:r>
          </w:p>
        </w:tc>
      </w:tr>
      <w:tr>
        <w:trPr>
          <w:cantSplit/>
        </w:trPr>
        <w:tc>
          <w:p>
            <w:pPr>
              <w:pStyle w:val="NormalinTable"/>
            </w:pPr>
            <w:r>
              <w:rPr>
                <w:b/>
              </w:rPr>
              <w:t>1108 12 00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
            </w:r>
          </w:p>
        </w:tc>
      </w:tr>
      <w:tr>
        <w:trPr>
          <w:cantSplit/>
        </w:trPr>
        <w:tc>
          <w:p>
            <w:pPr>
              <w:pStyle w:val="NormalinTable"/>
            </w:pPr>
            <w:r>
              <w:rPr>
                <w:b/>
              </w:rPr>
              <w:t>1108 13 00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
            </w:r>
          </w:p>
        </w:tc>
      </w:tr>
      <w:tr>
        <w:trPr>
          <w:cantSplit/>
        </w:trPr>
        <w:tc>
          <w:p>
            <w:pPr>
              <w:pStyle w:val="NormalinTable"/>
            </w:pPr>
            <w:r>
              <w:rPr>
                <w:b/>
              </w:rPr>
              <w:t>1108 14 00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
            </w:r>
          </w:p>
        </w:tc>
      </w:tr>
      <w:tr>
        <w:trPr>
          <w:cantSplit/>
        </w:trPr>
        <w:tc>
          <w:p>
            <w:pPr>
              <w:pStyle w:val="NormalinTable"/>
            </w:pPr>
            <w:r>
              <w:rPr>
                <w:b/>
              </w:rPr>
              <w:t>1108 19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
            </w:r>
          </w:p>
        </w:tc>
      </w:tr>
      <w:tr>
        <w:trPr>
          <w:cantSplit/>
        </w:trPr>
        <w:tc>
          <w:p>
            <w:pPr>
              <w:pStyle w:val="NormalinTable"/>
            </w:pPr>
            <w:r>
              <w:rPr>
                <w:b/>
              </w:rPr>
              <w:t>1108 19 10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
            </w:r>
          </w:p>
        </w:tc>
      </w:tr>
      <w:tr>
        <w:trPr>
          <w:cantSplit/>
        </w:trPr>
        <w:tc>
          <w:p>
            <w:pPr>
              <w:pStyle w:val="NormalinTable"/>
            </w:pPr>
            <w:r>
              <w:rPr>
                <w:b/>
              </w:rPr>
              <w:t>1108 19 90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Inulin</w:t>
              <!--//-->
            </w:r>
          </w:p>
        </w:tc>
      </w:tr>
      <w:tr>
        <w:trPr>
          <w:cantSplit/>
        </w:trPr>
        <w:tc>
          <w:p>
            <w:pPr>
              <w:pStyle w:val="NormalinTable"/>
            </w:pPr>
            <w:r>
              <w:rPr>
                <w:b/>
              </w:rPr>
              <w:t>1109 00 00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