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r>
        <w:t>(a) for additional preservation or stabilisation (for example, by moderate heat treatment, sulphuring, the addition of sorbic acid or potassium sorbate),</w:t>
      </w:r>
    </w:p>
    <w:p>
      <w:r>
        <w:t>(b) 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