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09</w:t>
      </w:r>
      <w:r>
        <w:br/>
        <w:t>Coffee, Tea, Maté and Spices</w:t>
      </w:r>
    </w:p>
    <w:p>
      <w:pPr>
        <w:pStyle w:val="Heading3"/>
      </w:pPr>
      <w:r>
        <w:t>Chapter Notes</w:t>
      </w:r>
    </w:p>
    <w:p>
      <w:r>
        <w:t>1. Mixtures of the products of headings 0904 to 0910 are to be classified as follows:</w:t>
      </w:r>
    </w:p>
    <w:p>
      <w:r>
        <w:t>(a) mixtures of two or more of the products of the same heading are to be classified in that heading;</w:t>
      </w:r>
    </w:p>
    <w:p>
      <w:r>
        <w:t>(b) mixtures of two or more of the products of different headings are to be classified in heading 0910.</w:t>
      </w:r>
    </w:p>
    <w:p>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r>
        <w:t>2. This chapter does not cover cubeb pepper ("Piper cubeba") or other products of heading 1211.</w:t>
      </w:r>
    </w:p>
    <w:p>
      <w:r>
        <w:t/>
      </w:r>
    </w:p>
    <w:p>
      <w:pPr>
        <w:pStyle w:val="Heading3"/>
      </w:pPr>
      <w:r>
        <w:t> Additional note </w:t>
      </w:r>
    </w:p>
    <w:p>
      <w:r>
        <w:t/>
      </w:r>
    </w:p>
    <w:p>
      <w:r>
        <w:t>1. The rate of duty applicable to mixtures referred to in note 1 (a) shall be the one applicable to the component having the highest duty rate.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TEA, MATÉ AND SPICES</w:t>
              <!--{FOOT}//-->
            </w:r>
          </w:p>
        </w:tc>
        <!--<w:tc>
          <w:p>
            <w:pPr>
              <w:pStyle w:val="NormalinTable"/>
              <w:jc w:val="center"/>
            </w:pPr>
            <w:r>
              <w:t>{SUPPUNIT}</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c>
          <w:p>
            <w:pPr>
              <w:pStyle w:val="NormalinTable"/>
              <w:jc w:val="center"/>
            </w:pPr>
            <w:r>
              <w:t>{SUPPUNIT}</w:t>
            </w:r>
          </w:p>
        </w:tc>//-->
      </w:tr>
      <w:tr>
        <w:trPr>
          <w:cantSplit/>
        </w:trPr>
        <w:tc>
          <w:p>
            <w:pPr>
              <w:pStyle w:val="NormalinTable"/>
            </w:pPr>
            <w:r>
              <w:rPr>
                <w:b/>
              </w:rPr>
              <w:t>0901 11 00 00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c>
          <w:p>
            <w:pPr>
              <w:pStyle w:val="NormalinTable"/>
              <w:jc w:val="center"/>
            </w:pPr>
            <w:r>
              <w:t>{SUPPUNIT}</w:t>
            </w:r>
          </w:p>
        </w:tc>//-->
      </w:tr>
      <w:tr>
        <w:trPr>
          <w:cantSplit/>
        </w:trPr>
        <w:tc>
          <w:p>
            <w:pPr>
              <w:pStyle w:val="NormalinTable"/>
            </w:pPr>
            <w:r>
              <w:rPr>
                <w:b/>
              </w:rPr>
              <w:t>0901 21 00 00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c>
          <w:p>
            <w:pPr>
              <w:pStyle w:val="NormalinTable"/>
              <w:jc w:val="center"/>
            </w:pPr>
            <w:r>
              <w:t>{SUPPUNIT}</w:t>
            </w:r>
          </w:p>
        </w:tc>//-->
      </w:tr>
      <w:tr>
        <w:trPr>
          <w:cantSplit/>
        </w:trPr>
        <w:tc>
          <w:p>
            <w:pPr>
              <w:pStyle w:val="NormalinTable"/>
            </w:pPr>
            <w:r>
              <w:rPr>
                <w:b/>
              </w:rPr>
              <w:t>0901 90 90 00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c>
          <w:p>
            <w:pPr>
              <w:pStyle w:val="NormalinTable"/>
              <w:jc w:val="center"/>
            </w:pPr>
            <w:r>
              <w:t>{SUPPUNIT}</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c>
          <w:p>
            <w:pPr>
              <w:pStyle w:val="NormalinTable"/>
              <w:jc w:val="center"/>
            </w:pPr>
            <w:r>
              <w:t>{SUPPUNIT}</w:t>
            </w:r>
          </w:p>
        </w:tc>//-->
      </w:tr>
      <w:tr>
        <w:trPr>
          <w:cantSplit/>
        </w:trPr>
        <w:tc>
          <w:p>
            <w:pPr>
              <w:pStyle w:val="NormalinTable"/>
            </w:pPr>
            <w:r>
              <w:rPr>
                <w:b/>
              </w:rPr>
              <w:t>0902 10 00 00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c>
          <w:p>
            <w:pPr>
              <w:pStyle w:val="NormalinTable"/>
              <w:jc w:val="center"/>
            </w:pPr>
            <w:r>
              <w:t>{SUPPUNIT}</w:t>
            </w:r>
          </w:p>
        </w:tc>//-->
      </w:tr>
      <w:tr>
        <w:trPr>
          <w:cantSplit/>
        </w:trPr>
        <w:tc>
          <w:p>
            <w:pPr>
              <w:pStyle w:val="NormalinTable"/>
            </w:pPr>
            <w:r>
              <w:rPr>
                <w:b/>
              </w:rPr>
              <w:t>0902 20 00 00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c>
          <w:p>
            <w:pPr>
              <w:pStyle w:val="NormalinTable"/>
              <w:jc w:val="center"/>
            </w:pPr>
            <w:r>
              <w:t>{SUPPUNIT}</w:t>
            </w:r>
          </w:p>
        </w:tc>//-->
      </w:tr>
      <w:tr>
        <w:trPr>
          <w:cantSplit/>
        </w:trPr>
        <w:tc>
          <w:p>
            <w:pPr>
              <w:pStyle w:val="NormalinTable"/>
            </w:pPr>
            <w:r>
              <w:rPr>
                <w:b/>
              </w:rPr>
              <w:t>0902 30 00 00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c>
          <w:p>
            <w:pPr>
              <w:pStyle w:val="NormalinTable"/>
              <w:jc w:val="center"/>
            </w:pPr>
            <w:r>
              <w:t>{SUPPUNIT}</w:t>
            </w:r>
          </w:p>
        </w:tc>//-->
      </w:tr>
      <w:tr>
        <w:trPr>
          <w:cantSplit/>
        </w:trPr>
        <w:tc>
          <w:p>
            <w:pPr>
              <w:pStyle w:val="NormalinTable"/>
            </w:pPr>
            <w:r>
              <w:rPr>
                <w:b/>
              </w:rPr>
              <w:t>0902 40 00 00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c>
          <w:p>
            <w:pPr>
              <w:pStyle w:val="NormalinTable"/>
              <w:jc w:val="center"/>
            </w:pPr>
            <w:r>
              <w:t>{SUPPUNIT}</w:t>
            </w:r>
          </w:p>
        </w:tc>//-->
      </w:tr>
      <w:tr>
        <w:trPr>
          <w:cantSplit/>
        </w:trPr>
        <w:tc>
          <w:p>
            <w:pPr>
              <w:pStyle w:val="NormalinTable"/>
            </w:pPr>
            <w:r>
              <w:rPr>
                <w:b/>
              </w:rPr>
              <w:t>0903 00 00 00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c>
          <w:p>
            <w:pPr>
              <w:pStyle w:val="NormalinTable"/>
              <w:jc w:val="center"/>
            </w:pPr>
            <w:r>
              <w:t>{SUPPUNIT}</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c>
          <w:p>
            <w:pPr>
              <w:pStyle w:val="NormalinTable"/>
              <w:jc w:val="center"/>
            </w:pPr>
            <w:r>
              <w:t>{SUPPUNIT}</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 pepper (Piper)</w:t>
              <!--{FOOT}//-->
            </w:r>
          </w:p>
        </w:tc>
        <!--<w:tc>
          <w:p>
            <w:pPr>
              <w:pStyle w:val="NormalinTable"/>
              <w:jc w:val="center"/>
            </w:pPr>
            <w:r>
              <w:t>{SUPPUNIT}</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c>
          <w:p>
            <w:pPr>
              <w:pStyle w:val="NormalinTable"/>
              <w:jc w:val="center"/>
            </w:pPr>
            <w:r>
              <w:t>{SUPPUNIT}</w:t>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c>
          <w:p>
            <w:pPr>
              <w:pStyle w:val="NormalinTable"/>
              <w:jc w:val="center"/>
            </w:pPr>
            <w:r>
              <w:t>{SUPPUNIT}</w:t>
            </w:r>
          </w:p>
        </w:tc>//-->
      </w:tr>
      <w:tr>
        <w:trPr>
          <w:cantSplit/>
        </w:trPr>
        <w:tc>
          <w:p>
            <w:pPr>
              <w:pStyle w:val="NormalinTable"/>
            </w:pPr>
            <w:r>
              <w:rPr>
                <w:b/>
              </w:rPr>
              <w:t>0904 21 10 00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c>
          <w:p>
            <w:pPr>
              <w:pStyle w:val="NormalinTable"/>
              <w:jc w:val="center"/>
            </w:pPr>
            <w:r>
              <w:t>{SUPPUNIT}</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FOOT}//-->
            </w:r>
          </w:p>
        </w:tc>
        <!--<w:tc>
          <w:p>
            <w:pPr>
              <w:pStyle w:val="NormalinTable"/>
              <w:jc w:val="center"/>
            </w:pPr>
            <w:r>
              <w:t>{SUPPUNIT}</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FOOT}//-->
            </w:r>
          </w:p>
        </w:tc>
        <!--<w:tc>
          <w:p>
            <w:pPr>
              <w:pStyle w:val="NormalinTable"/>
              <w:jc w:val="center"/>
            </w:pPr>
            <w:r>
              <w:t>{SUPPUNIT}</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c>
          <w:p>
            <w:pPr>
              <w:pStyle w:val="NormalinTable"/>
              <w:jc w:val="center"/>
            </w:pPr>
            <w:r>
              <w:t>{SUPPUNIT}</w:t>
            </w:r>
          </w:p>
        </w:tc>//-->
      </w:tr>
      <w:tr>
        <w:trPr>
          <w:cantSplit/>
        </w:trPr>
        <w:tc>
          <w:p>
            <w:pPr>
              <w:pStyle w:val="NormalinTable"/>
            </w:pPr>
            <w:r>
              <w:rPr>
                <w:b/>
              </w:rPr>
              <w:t>0905 10 00 00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c>
          <w:p>
            <w:pPr>
              <w:pStyle w:val="NormalinTable"/>
              <w:jc w:val="center"/>
            </w:pPr>
            <w:r>
              <w:t>{SUPPUNIT}</w:t>
            </w:r>
          </w:p>
        </w:tc>//-->
      </w:tr>
      <w:tr>
        <w:trPr>
          <w:cantSplit/>
        </w:trPr>
        <w:tc>
          <w:p>
            <w:pPr>
              <w:pStyle w:val="NormalinTable"/>
            </w:pPr>
            <w:r>
              <w:rPr>
                <w:b/>
              </w:rPr>
              <w:t>0906 19 00 00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c>
          <w:p>
            <w:pPr>
              <w:pStyle w:val="NormalinTable"/>
              <w:jc w:val="center"/>
            </w:pPr>
            <w:r>
              <w:t>{SUPPUNIT}</w:t>
            </w:r>
          </w:p>
        </w:tc>//-->
      </w:tr>
      <w:tr>
        <w:trPr>
          <w:cantSplit/>
        </w:trPr>
        <w:tc>
          <w:p>
            <w:pPr>
              <w:pStyle w:val="NormalinTable"/>
            </w:pPr>
            <w:r>
              <w:rPr>
                <w:b/>
              </w:rPr>
              <w:t>0907 10 00 00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c>
          <w:p>
            <w:pPr>
              <w:pStyle w:val="NormalinTable"/>
              <w:jc w:val="center"/>
            </w:pPr>
            <w:r>
              <w:t>{SUPPUNIT}</w:t>
            </w:r>
          </w:p>
        </w:tc>//-->
      </w:tr>
      <w:tr>
        <w:trPr>
          <w:cantSplit/>
        </w:trPr>
        <w:tc>
          <w:p>
            <w:pPr>
              <w:pStyle w:val="NormalinTable"/>
            </w:pPr>
            <w:r>
              <w:rPr>
                <w:b/>
              </w:rPr>
              <w:t>0908 11 00 00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c>
          <w:p>
            <w:pPr>
              <w:pStyle w:val="NormalinTable"/>
              <w:jc w:val="center"/>
            </w:pPr>
            <w:r>
              <w:t>{SUPPUNIT}</w:t>
            </w:r>
          </w:p>
        </w:tc>//-->
      </w:tr>
      <w:tr>
        <w:trPr>
          <w:cantSplit/>
        </w:trPr>
        <w:tc>
          <w:p>
            <w:pPr>
              <w:pStyle w:val="NormalinTable"/>
            </w:pPr>
            <w:r>
              <w:rPr>
                <w:b/>
              </w:rPr>
              <w:t>0908 21 00 00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c>
          <w:p>
            <w:pPr>
              <w:pStyle w:val="NormalinTable"/>
              <w:jc w:val="center"/>
            </w:pPr>
            <w:r>
              <w:t>{SUPPUNIT}</w:t>
            </w:r>
          </w:p>
        </w:tc>//-->
      </w:tr>
      <w:tr>
        <w:trPr>
          <w:cantSplit/>
        </w:trPr>
        <w:tc>
          <w:p>
            <w:pPr>
              <w:pStyle w:val="NormalinTable"/>
            </w:pPr>
            <w:r>
              <w:rPr>
                <w:b/>
              </w:rPr>
              <w:t>0908 31 00 00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c>
          <w:p>
            <w:pPr>
              <w:pStyle w:val="NormalinTable"/>
              <w:jc w:val="center"/>
            </w:pPr>
            <w:r>
              <w:t>{SUPPUNIT}</w:t>
            </w:r>
          </w:p>
        </w:tc>//-->
      </w:tr>
      <w:tr>
        <w:trPr>
          <w:cantSplit/>
        </w:trPr>
        <w:tc>
          <w:p>
            <w:pPr>
              <w:pStyle w:val="NormalinTable"/>
            </w:pPr>
            <w:r>
              <w:rPr>
                <w:b/>
              </w:rPr>
              <w:t>0909 21 00 00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c>
          <w:p>
            <w:pPr>
              <w:pStyle w:val="NormalinTable"/>
              <w:jc w:val="center"/>
            </w:pPr>
            <w:r>
              <w:t>{SUPPUNIT}</w:t>
            </w:r>
          </w:p>
        </w:tc>//-->
      </w:tr>
      <w:tr>
        <w:trPr>
          <w:cantSplit/>
        </w:trPr>
        <w:tc>
          <w:p>
            <w:pPr>
              <w:pStyle w:val="NormalinTable"/>
            </w:pPr>
            <w:r>
              <w:rPr>
                <w:b/>
              </w:rPr>
              <w:t>0909 31 00 00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c>
          <w:p>
            <w:pPr>
              <w:pStyle w:val="NormalinTable"/>
              <w:jc w:val="center"/>
            </w:pPr>
            <w:r>
              <w:t>{SUPPUNIT}</w:t>
            </w:r>
          </w:p>
        </w:tc>//-->
      </w:tr>
      <w:tr>
        <w:trPr>
          <w:cantSplit/>
        </w:trPr>
        <w:tc>
          <w:p>
            <w:pPr>
              <w:pStyle w:val="NormalinTable"/>
            </w:pPr>
            <w:r>
              <w:rPr>
                <w:b/>
              </w:rPr>
              <w:t>0909 61 00 00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0910 11 00 00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c>
          <w:p>
            <w:pPr>
              <w:pStyle w:val="NormalinTable"/>
              <w:jc w:val="center"/>
            </w:pPr>
            <w:r>
              <w:t>{SUPPUNIT}</w:t>
            </w:r>
          </w:p>
        </w:tc>//-->
      </w:tr>
      <w:tr>
        <w:trPr>
          <w:cantSplit/>
        </w:trPr>
        <w:tc>
          <w:p>
            <w:pPr>
              <w:pStyle w:val="NormalinTable"/>
            </w:pPr>
            <w:r>
              <w:rPr>
                <w:b/>
              </w:rPr>
              <w:t>0910 20 10 00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c>
          <w:p>
            <w:pPr>
              <w:pStyle w:val="NormalinTable"/>
              <w:jc w:val="center"/>
            </w:pPr>
            <w:r>
              <w:t>{SUPPUNIT}</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c>
          <w:p>
            <w:pPr>
              <w:pStyle w:val="NormalinTable"/>
              <w:jc w:val="center"/>
            </w:pPr>
            <w:r>
              <w:t>{SUPPUNIT}</w:t>
            </w:r>
          </w:p>
        </w:tc>//-->
      </w:tr>
      <w:tr>
        <w:trPr>
          <w:cantSplit/>
        </w:trPr>
        <w:tc>
          <w:p>
            <w:pPr>
              <w:pStyle w:val="NormalinTable"/>
            </w:pPr>
            <w:r>
              <w:rPr>
                <w:b/>
              </w:rPr>
              <w:t>0910 91 05 00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c>
          <w:p>
            <w:pPr>
              <w:pStyle w:val="NormalinTable"/>
              <w:jc w:val="center"/>
            </w:pPr>
            <w:r>
              <w:t>{SUPPUNIT}</w:t>
            </w:r>
          </w:p>
        </w:tc>//-->
      </w:tr>
      <w:tr>
        <w:trPr>
          <w:cantSplit/>
        </w:trPr>
        <w:tc>
          <w:p>
            <w:pPr>
              <w:pStyle w:val="NormalinTable"/>
            </w:pPr>
            <w:r>
              <w:rPr>
                <w:b/>
              </w:rPr>
              <w:t>0910 99 33 00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0910 99 39 00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