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FCE5" w14:textId="77777777" w:rsidR="00C80A1F" w:rsidRDefault="00C80A1F" w:rsidP="00C80A1F">
      <w:pPr>
        <w:pStyle w:val="Heading2"/>
      </w:pPr>
      <w:r>
        <w:t>Chapter 11</w:t>
      </w:r>
      <w:r>
        <w:br/>
        <w:t>Products Of The Milling Industry; Malt; Starches; Inulin; Wheat Gluten</w:t>
      </w:r>
    </w:p>
    <w:p w14:paraId="7989D8D8" w14:textId="77777777" w:rsidR="00A94ED6" w:rsidRDefault="00A94ED6" w:rsidP="00A94ED6">
      <w:pPr>
        <w:pStyle w:val="Heading3"/>
      </w:pPr>
      <w:bookmarkStart w:id="0" w:name="_GoBack"/>
      <w:bookmarkEnd w:id="0"/>
      <w:r>
        <w:t>Chapter Notes</w:t>
      </w:r>
    </w:p>
    <w:p w14:paraId="3850D22D" w14:textId="77777777" w:rsidR="00A94ED6" w:rsidRPr="00AE1069" w:rsidRDefault="00A94ED6" w:rsidP="00A94ED6"/>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746097AE" w14:textId="77777777" w:rsidR="00A94ED6" w:rsidRDefault="00A94ED6" w:rsidP="00A94ED6"/>
    <w:p w14:paraId="38A7F203" w14:textId="77777777" w:rsidR="00A94ED6" w:rsidRDefault="00A94ED6" w:rsidP="00A94ED6"/>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lastRenderedPageBreak/>
        <w:t>in the case of maize (corn) products, at least 95% by weight passes through a woven metal wire cloth sieve with an aperture of 2mm;</w:t>
      </w:r>
    </w:p>
    <w:p w14:paraId="260F4B3A" w14:textId="77777777" w:rsidR="00A94ED6" w:rsidRDefault="00A94ED6" w:rsidP="00A94ED6">
      <w:pPr>
        <w:pStyle w:val="ListBullet"/>
        <w:numPr>
          <w:ilvl w:val="0"/>
          <w:numId w:val="7"/>
        </w:numPr>
      </w:pPr>
      <w:r>
        <w:t>in the case of other cereal products, at least 95% by weight passes through a woven metal wire cloth sieve with an aperture of 1.25mm.</w:t>
      </w:r>
    </w:p>
    <w:p w14:paraId="33C5C7E3" w14:textId="77777777" w:rsidR="00A94ED6" w:rsidRDefault="00A94ED6" w:rsidP="00A94ED6"/>
    <w:p w14:paraId="459224CF" w14:textId="77777777" w:rsidR="00A94ED6" w:rsidRPr="00064508" w:rsidRDefault="00A94ED6" w:rsidP="00A94ED6">
      <w:pPr>
        <w:pStyle w:val="Heading3"/>
      </w:pPr>
      <w:r>
        <w:t>Additional chapter note</w:t>
      </w:r>
      <w:r w:rsidRPr="00064508">
        <w:t>s</w:t>
      </w:r>
    </w:p>
    <w:p w14:paraId="129AEEC5" w14:textId="77777777" w:rsidR="00A94ED6" w:rsidRPr="00064508" w:rsidRDefault="00A94ED6" w:rsidP="00A94ED6"/>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3D97D8D8" w14:textId="77777777" w:rsidR="00A94ED6" w:rsidRDefault="00A94ED6" w:rsidP="00A94ED6"/>
    <w:p w14:paraId="0566A5E6" w14:textId="77777777" w:rsidR="00A94ED6" w:rsidRDefault="00A94ED6" w:rsidP="00A94ED6"/>
    <w:p w14:paraId="466E971D" w14:textId="77777777" w:rsidR="00E4554C" w:rsidRPr="00A94ED6" w:rsidRDefault="00E4554C" w:rsidP="00A94ED6"/>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THE MILLING INDUSTRY; MALT; STARCHES; INULIN; WHEAT GLUTEN</w:t>
              <!--{FOOT}//-->
            </w:r>
          </w:p>
        </w:tc>
        <!--<w:tc>
          <w:p>
            <w:pPr>
              <w:pStyle w:val="NormalinTable"/>
              <w:jc w:val="center"/>
            </w:pPr>
            <w:r>
              <w:t>{SUPPUNIT}</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c>
          <w:p>
            <w:pPr>
              <w:pStyle w:val="NormalinTable"/>
              <w:jc w:val="center"/>
            </w:pPr>
            <w:r>
              <w:t>{SUPPUNIT}</w:t>
            </w:r>
          </w:p>
        </w:tc>//-->
      </w:tr>
      <w:tr>
        <w:trPr>
          <w:cantSplit/>
        </w:trPr>
        <w:tc>
          <w:p>
            <w:pPr>
              <w:pStyle w:val="NormalinTable"/>
            </w:pPr>
            <w:r>
              <w:rPr>
                <w:b/>
              </w:rPr>
              <w:t>1101 00 11 00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c>
          <w:p>
            <w:pPr>
              <w:pStyle w:val="NormalinTable"/>
              <w:jc w:val="center"/>
            </w:pPr>
            <w:r>
              <w:t>{SUPPUNIT}</w:t>
            </w:r>
          </w:p>
        </w:tc>//-->
      </w:tr>
      <w:tr>
        <w:trPr>
          <w:cantSplit/>
        </w:trPr>
        <w:tc>
          <w:p>
            <w:pPr>
              <w:pStyle w:val="NormalinTable"/>
            </w:pPr>
            <w:r>
              <w:rPr>
                <w:b/>
              </w:rPr>
              <w:t>1101 00 15 00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c>
          <w:p>
            <w:pPr>
              <w:pStyle w:val="NormalinTable"/>
              <w:jc w:val="center"/>
            </w:pPr>
            <w:r>
              <w:t>{SUPPUNIT}</w:t>
            </w:r>
          </w:p>
        </w:tc>//-->
      </w:tr>
      <w:tr>
        <w:trPr>
          <w:cantSplit/>
        </w:trPr>
        <w:tc>
          <w:p>
            <w:pPr>
              <w:pStyle w:val="NormalinTable"/>
            </w:pPr>
            <w:r>
              <w:rPr>
                <w:b/>
              </w:rPr>
              <w:t>1101 00 90 00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c>
          <w:p>
            <w:pPr>
              <w:pStyle w:val="NormalinTable"/>
              <w:jc w:val="center"/>
            </w:pPr>
            <w:r>
              <w:t>{SUPPUNIT}</w:t>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c>
          <w:p>
            <w:pPr>
              <w:pStyle w:val="NormalinTable"/>
              <w:jc w:val="center"/>
            </w:pPr>
            <w:r>
              <w:t>{SUPPUNIT}</w:t>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c>
          <w:p>
            <w:pPr>
              <w:pStyle w:val="NormalinTable"/>
              <w:jc w:val="center"/>
            </w:pPr>
            <w:r>
              <w:t>{SUPPUNIT}</w:t>
            </w:r>
          </w:p>
        </w:tc>//-->
      </w:tr>
      <w:tr>
        <w:trPr>
          <w:cantSplit/>
        </w:trPr>
        <w:tc>
          <w:p>
            <w:pPr>
              <w:pStyle w:val="NormalinTable"/>
            </w:pPr>
            <w:r>
              <w:rPr>
                <w:b/>
              </w:rPr>
              <w:t>1102 20 10 00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c>
          <w:p>
            <w:pPr>
              <w:pStyle w:val="NormalinTable"/>
              <w:jc w:val="center"/>
            </w:pPr>
            <w:r>
              <w:t>{SUPPUNIT}</w:t>
            </w:r>
          </w:p>
        </w:tc>//-->
      </w:tr>
      <w:tr>
        <w:trPr>
          <w:cantSplit/>
        </w:trPr>
        <w:tc>
          <w:p>
            <w:pPr>
              <w:pStyle w:val="NormalinTable"/>
            </w:pPr>
            <w:r>
              <w:rPr>
                <w:b/>
              </w:rPr>
              <w:t>1102 20 90 00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c>
          <w:p>
            <w:pPr>
              <w:pStyle w:val="NormalinTable"/>
              <w:jc w:val="center"/>
            </w:pPr>
            <w:r>
              <w:t>{SUPPUNIT}</w:t>
            </w:r>
          </w:p>
        </w:tc>//-->
      </w:tr>
      <w:tr>
        <w:trPr>
          <w:cantSplit/>
        </w:trPr>
        <w:tc>
          <w:p>
            <w:pPr>
              <w:pStyle w:val="NormalinTable"/>
            </w:pPr>
            <w:r>
              <w:rPr>
                <w:b/>
              </w:rPr>
              <w:t>1102 90 30 00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c>
          <w:p>
            <w:pPr>
              <w:pStyle w:val="NormalinTable"/>
              <w:jc w:val="center"/>
            </w:pPr>
            <w:r>
              <w:t>{SUPPUNIT}</w:t>
            </w:r>
          </w:p>
        </w:tc>//-->
      </w:tr>
      <w:tr>
        <w:trPr>
          <w:cantSplit/>
        </w:trPr>
        <w:tc>
          <w:p>
            <w:pPr>
              <w:pStyle w:val="NormalinTable"/>
            </w:pPr>
            <w:r>
              <w:rPr>
                <w:b/>
              </w:rPr>
              <w:t>1102 90 50 00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c>
          <w:p>
            <w:pPr>
              <w:pStyle w:val="NormalinTable"/>
              <w:jc w:val="center"/>
            </w:pPr>
            <w:r>
              <w:t>{SUPPUNIT}</w:t>
            </w:r>
          </w:p>
        </w:tc>//-->
      </w:tr>
      <w:tr>
        <w:trPr>
          <w:cantSplit/>
        </w:trPr>
        <w:tc>
          <w:p>
            <w:pPr>
              <w:pStyle w:val="NormalinTable"/>
            </w:pPr>
            <w:r>
              <w:rPr>
                <w:b/>
              </w:rPr>
              <w:t>1102 90 70 00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c>
          <w:p>
            <w:pPr>
              <w:pStyle w:val="NormalinTable"/>
              <w:jc w:val="center"/>
            </w:pPr>
            <w:r>
              <w:t>{SUPPUNIT}</w:t>
            </w:r>
          </w:p>
        </w:tc>//-->
      </w:tr>
      <w:tr>
        <w:trPr>
          <w:cantSplit/>
        </w:trPr>
        <w:tc>
          <w:p>
            <w:pPr>
              <w:pStyle w:val="NormalinTable"/>
            </w:pPr>
            <w:r>
              <w:rPr>
                <w:b/>
              </w:rPr>
              <w:t>1102 90 90 00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c>
          <w:p>
            <w:pPr>
              <w:pStyle w:val="NormalinTable"/>
              <w:jc w:val="center"/>
            </w:pPr>
            <w:r>
              <w:t>{SUPPUNIT}</w:t>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c>
          <w:p>
            <w:pPr>
              <w:pStyle w:val="NormalinTable"/>
              <w:jc w:val="center"/>
            </w:pPr>
            <w:r>
              <w:t>{SUPPUNIT}</w:t>
            </w:r>
          </w:p>
        </w:tc>//-->
      </w:tr>
      <w:tr>
        <w:trPr>
          <w:cantSplit/>
        </w:trPr>
        <w:tc>
          <w:p>
            <w:pPr>
              <w:pStyle w:val="NormalinTable"/>
            </w:pPr>
            <w:r>
              <w:rPr>
                <w:b/>
              </w:rPr>
              <w:t>1103 11 90 00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c>
          <w:p>
            <w:pPr>
              <w:pStyle w:val="NormalinTable"/>
              <w:jc w:val="center"/>
            </w:pPr>
            <w:r>
              <w:t>{SUPPUNIT}</w:t>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1103 13 10 00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c>
          <w:p>
            <w:pPr>
              <w:pStyle w:val="NormalinTable"/>
              <w:jc w:val="center"/>
            </w:pPr>
            <w:r>
              <w:t>{SUPPUNIT}</w:t>
            </w:r>
          </w:p>
        </w:tc>//-->
      </w:tr>
      <w:tr>
        <w:trPr>
          <w:cantSplit/>
        </w:trPr>
        <w:tc>
          <w:p>
            <w:pPr>
              <w:pStyle w:val="NormalinTable"/>
            </w:pPr>
            <w:r>
              <w:rPr>
                <w:b/>
              </w:rPr>
              <w:t>1103 13 90 00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c>
          <w:p>
            <w:pPr>
              <w:pStyle w:val="NormalinTable"/>
              <w:jc w:val="center"/>
            </w:pPr>
            <w:r>
              <w:t>{SUPPUNIT}</w:t>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FOOT}//-->
            </w:r>
          </w:p>
        </w:tc>
        <!--<w:tc>
          <w:p>
            <w:pPr>
              <w:pStyle w:val="NormalinTable"/>
              <w:jc w:val="center"/>
            </w:pPr>
            <w:r>
              <w:t>{SUPPUNIT}</w:t>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1103 19 40 00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c>
          <w:p>
            <w:pPr>
              <w:pStyle w:val="NormalinTable"/>
              <w:jc w:val="center"/>
            </w:pPr>
            <w:r>
              <w:t>{SUPPUNIT}</w:t>
            </w:r>
          </w:p>
        </w:tc>//-->
      </w:tr>
      <w:tr>
        <w:trPr>
          <w:cantSplit/>
        </w:trPr>
        <w:tc>
          <w:p>
            <w:pPr>
              <w:pStyle w:val="NormalinTable"/>
            </w:pPr>
            <w:r>
              <w:rPr>
                <w:b/>
              </w:rPr>
              <w:t>1103 19 50 00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c>
          <w:p>
            <w:pPr>
              <w:pStyle w:val="NormalinTable"/>
              <w:jc w:val="center"/>
            </w:pPr>
            <w:r>
              <w:t>{SUPPUNIT}</w:t>
            </w:r>
          </w:p>
        </w:tc>//-->
      </w:tr>
      <w:tr>
        <w:trPr>
          <w:cantSplit/>
        </w:trPr>
        <w:tc>
          <w:p>
            <w:pPr>
              <w:pStyle w:val="NormalinTable"/>
            </w:pPr>
            <w:r>
              <w:rPr>
                <w:b/>
              </w:rPr>
              <w:t>1103 19 90 00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c>
          <w:p>
            <w:pPr>
              <w:pStyle w:val="NormalinTable"/>
              <w:jc w:val="center"/>
            </w:pPr>
            <w:r>
              <w:t>{SUPPUNIT}</w:t>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c>
          <w:p>
            <w:pPr>
              <w:pStyle w:val="NormalinTable"/>
              <w:jc w:val="center"/>
            </w:pPr>
            <w:r>
              <w:t>{SUPPUNIT}</w:t>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1103 20 30 00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1103 20 40 00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c>
          <w:p>
            <w:pPr>
              <w:pStyle w:val="NormalinTable"/>
              <w:jc w:val="center"/>
            </w:pPr>
            <w:r>
              <w:t>{SUPPUNIT}</w:t>
            </w:r>
          </w:p>
        </w:tc>//-->
      </w:tr>
      <w:tr>
        <w:trPr>
          <w:cantSplit/>
        </w:trPr>
        <w:tc>
          <w:p>
            <w:pPr>
              <w:pStyle w:val="NormalinTable"/>
            </w:pPr>
            <w:r>
              <w:rPr>
                <w:b/>
              </w:rPr>
              <w:t>1103 20 50 00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c>
          <w:p>
            <w:pPr>
              <w:pStyle w:val="NormalinTable"/>
              <w:jc w:val="center"/>
            </w:pPr>
            <w:r>
              <w:t>{SUPPUNIT}</w:t>
            </w:r>
          </w:p>
        </w:tc>//-->
      </w:tr>
      <w:tr>
        <w:trPr>
          <w:cantSplit/>
        </w:trPr>
        <w:tc>
          <w:p>
            <w:pPr>
              <w:pStyle w:val="NormalinTable"/>
            </w:pPr>
            <w:r>
              <w:rPr>
                <w:b/>
              </w:rPr>
              <w:t>1103 20 60 00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1103 20 90 00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c>
          <w:p>
            <w:pPr>
              <w:pStyle w:val="NormalinTable"/>
              <w:jc w:val="center"/>
            </w:pPr>
            <w:r>
              <w:t>{SUPPUNIT}</w:t>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c>
          <w:p>
            <w:pPr>
              <w:pStyle w:val="NormalinTable"/>
              <w:jc w:val="center"/>
            </w:pPr>
            <w:r>
              <w:t>{SUPPUNIT}</w:t>
            </w:r>
          </w:p>
        </w:tc>//-->
      </w:tr>
      <w:tr>
        <w:trPr>
          <w:cantSplit/>
        </w:trPr>
        <w:tc>
          <w:p>
            <w:pPr>
              <w:pStyle w:val="NormalinTable"/>
            </w:pPr>
            <w:r>
              <w:rPr>
                <w:b/>
              </w:rPr>
              <w:t>1104 12 90 00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c>
          <w:p>
            <w:pPr>
              <w:pStyle w:val="NormalinTable"/>
              <w:jc w:val="center"/>
            </w:pPr>
            <w:r>
              <w:t>{SUPPUNIT}</w:t>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c>
          <w:p>
            <w:pPr>
              <w:pStyle w:val="NormalinTable"/>
              <w:jc w:val="center"/>
            </w:pPr>
            <w:r>
              <w:t>{SUPPUNIT}</w:t>
            </w:r>
          </w:p>
        </w:tc>//-->
      </w:tr>
      <w:tr>
        <w:trPr>
          <w:cantSplit/>
        </w:trPr>
        <w:tc>
          <w:p>
            <w:pPr>
              <w:pStyle w:val="NormalinTable"/>
            </w:pPr>
            <w:r>
              <w:rPr>
                <w:b/>
              </w:rPr>
              <w:t>1104 19 30 00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c>
          <w:p>
            <w:pPr>
              <w:pStyle w:val="NormalinTable"/>
              <w:jc w:val="center"/>
            </w:pPr>
            <w:r>
              <w:t>{SUPPUNIT}</w:t>
            </w:r>
          </w:p>
        </w:tc>//-->
      </w:tr>
      <w:tr>
        <w:trPr>
          <w:cantSplit/>
        </w:trPr>
        <w:tc>
          <w:p>
            <w:pPr>
              <w:pStyle w:val="NormalinTable"/>
            </w:pPr>
            <w:r>
              <w:rPr>
                <w:b/>
              </w:rPr>
              <w:t>1104 19 50 00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1104 19 61 00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c>
          <w:p>
            <w:pPr>
              <w:pStyle w:val="NormalinTable"/>
              <w:jc w:val="center"/>
            </w:pPr>
            <w:r>
              <w:t>{SUPPUNIT}</w:t>
            </w:r>
          </w:p>
        </w:tc>//-->
      </w:tr>
      <w:tr>
        <w:trPr>
          <w:cantSplit/>
        </w:trPr>
        <w:tc>
          <w:p>
            <w:pPr>
              <w:pStyle w:val="NormalinTable"/>
            </w:pPr>
            <w:r>
              <w:rPr>
                <w:b/>
              </w:rPr>
              <w:t>1104 19 69 00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c>
          <w:p>
            <w:pPr>
              <w:pStyle w:val="NormalinTable"/>
              <w:jc w:val="center"/>
            </w:pPr>
            <w:r>
              <w:t>{SUPPUNIT}</w:t>
            </w:r>
          </w:p>
        </w:tc>//-->
      </w:tr>
      <w:tr>
        <w:trPr>
          <w:cantSplit/>
        </w:trPr>
        <w:tc>
          <w:p>
            <w:pPr>
              <w:pStyle w:val="NormalinTable"/>
            </w:pPr>
            <w:r>
              <w:rPr>
                <w:b/>
              </w:rPr>
              <w:t>1104 19 99 00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c>
          <w:p>
            <w:pPr>
              <w:pStyle w:val="NormalinTable"/>
              <w:jc w:val="center"/>
            </w:pPr>
            <w:r>
              <w:t>{SUPPUNIT}</w:t>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c>
          <w:p>
            <w:pPr>
              <w:pStyle w:val="NormalinTable"/>
              <w:jc w:val="center"/>
            </w:pPr>
            <w:r>
              <w:t>{SUPPUNIT}</w:t>
            </w:r>
          </w:p>
        </w:tc>//-->
      </w:tr>
      <w:tr>
        <w:trPr>
          <w:cantSplit/>
        </w:trPr>
        <w:tc>
          <w:p>
            <w:pPr>
              <w:pStyle w:val="NormalinTable"/>
            </w:pPr>
            <w:r>
              <w:rPr>
                <w:b/>
              </w:rPr>
              <w:t>1104 22 40 00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c>
          <w:p>
            <w:pPr>
              <w:pStyle w:val="NormalinTable"/>
              <w:jc w:val="center"/>
            </w:pPr>
            <w:r>
              <w:t>{SUPPUNIT}</w:t>
            </w:r>
          </w:p>
        </w:tc>//-->
      </w:tr>
      <w:tr>
        <w:trPr>
          <w:cantSplit/>
        </w:trPr>
        <w:tc>
          <w:p>
            <w:pPr>
              <w:pStyle w:val="NormalinTable"/>
            </w:pPr>
            <w:r>
              <w:rPr>
                <w:b/>
              </w:rPr>
              <w:t>1104 22 95 00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c>
          <w:p>
            <w:pPr>
              <w:pStyle w:val="NormalinTable"/>
              <w:jc w:val="center"/>
            </w:pPr>
            <w:r>
              <w:t>{SUPPUNIT}</w:t>
            </w:r>
          </w:p>
        </w:tc>//-->
      </w:tr>
      <w:tr>
        <w:trPr>
          <w:cantSplit/>
        </w:trPr>
        <w:tc>
          <w:p>
            <w:pPr>
              <w:pStyle w:val="NormalinTable"/>
            </w:pPr>
            <w:r>
              <w:rPr>
                <w:b/>
              </w:rPr>
              <w:t>1104 23 40 00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c>
          <w:p>
            <w:pPr>
              <w:pStyle w:val="NormalinTable"/>
              <w:jc w:val="center"/>
            </w:pPr>
            <w:r>
              <w:t>{SUPPUNIT}</w:t>
            </w:r>
          </w:p>
        </w:tc>//-->
      </w:tr>
      <w:tr>
        <w:trPr>
          <w:cantSplit/>
        </w:trPr>
        <w:tc>
          <w:p>
            <w:pPr>
              <w:pStyle w:val="NormalinTable"/>
            </w:pPr>
            <w:r>
              <w:rPr>
                <w:b/>
              </w:rPr>
              <w:t>1104 23 98 00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c>
          <w:p>
            <w:pPr>
              <w:pStyle w:val="NormalinTable"/>
              <w:jc w:val="center"/>
            </w:pPr>
            <w:r>
              <w:t>{SUPPUNIT}</w:t>
            </w:r>
          </w:p>
        </w:tc>//-->
      </w:tr>
      <w:tr>
        <w:trPr>
          <w:cantSplit/>
        </w:trPr>
        <w:tc>
          <w:p>
            <w:pPr>
              <w:pStyle w:val="NormalinTable"/>
            </w:pPr>
            <w:r>
              <w:rPr>
                <w:b/>
              </w:rPr>
              <w:t>1104 29 04 00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c>
          <w:p>
            <w:pPr>
              <w:pStyle w:val="NormalinTable"/>
              <w:jc w:val="center"/>
            </w:pPr>
            <w:r>
              <w:t>{SUPPUNIT}</w:t>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c>
          <w:p>
            <w:pPr>
              <w:pStyle w:val="NormalinTable"/>
              <w:jc w:val="center"/>
            </w:pPr>
            <w:r>
              <w:t>{SUPPUNIT}</w:t>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c>
          <w:p>
            <w:pPr>
              <w:pStyle w:val="NormalinTable"/>
              <w:jc w:val="center"/>
            </w:pPr>
            <w:r>
              <w:t>{SUPPUNIT}</w:t>
            </w:r>
          </w:p>
        </w:tc>//-->
      </w:tr>
      <w:tr>
        <w:trPr>
          <w:cantSplit/>
        </w:trPr>
        <w:tc>
          <w:p>
            <w:pPr>
              <w:pStyle w:val="NormalinTable"/>
            </w:pPr>
            <w:r>
              <w:rPr>
                <w:b/>
              </w:rPr>
              <w:t>1104 29 51 00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1104 29 81 00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c>
          <w:p>
            <w:pPr>
              <w:pStyle w:val="NormalinTable"/>
              <w:jc w:val="center"/>
            </w:pPr>
            <w:r>
              <w:t>{SUPPUNIT}</w:t>
            </w:r>
          </w:p>
        </w:tc>//-->
      </w:tr>
      <w:tr>
        <w:trPr>
          <w:cantSplit/>
        </w:trPr>
        <w:tc>
          <w:p>
            <w:pPr>
              <w:pStyle w:val="NormalinTable"/>
            </w:pPr>
            <w:r>
              <w:rPr>
                <w:b/>
              </w:rPr>
              <w:t>1104 29 85 00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c>
          <w:p>
            <w:pPr>
              <w:pStyle w:val="NormalinTable"/>
              <w:jc w:val="center"/>
            </w:pPr>
            <w:r>
              <w:t>{SUPPUNIT}</w:t>
            </w:r>
          </w:p>
        </w:tc>//-->
      </w:tr>
      <w:tr>
        <w:trPr>
          <w:cantSplit/>
        </w:trPr>
        <w:tc>
          <w:p>
            <w:pPr>
              <w:pStyle w:val="NormalinTable"/>
            </w:pPr>
            <w:r>
              <w:rPr>
                <w:b/>
              </w:rPr>
              <w:t>1104 29 89 00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c>
          <w:p>
            <w:pPr>
              <w:pStyle w:val="NormalinTable"/>
              <w:jc w:val="center"/>
            </w:pPr>
            <w:r>
              <w:t>{SUPPUNIT}</w:t>
            </w:r>
          </w:p>
        </w:tc>//-->
      </w:tr>
      <w:tr>
        <w:trPr>
          <w:cantSplit/>
        </w:trPr>
        <w:tc>
          <w:p>
            <w:pPr>
              <w:pStyle w:val="NormalinTable"/>
            </w:pPr>
            <w:r>
              <w:rPr>
                <w:b/>
              </w:rPr>
              <w:t>1104 30 10 00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c>
          <w:p>
            <w:pPr>
              <w:pStyle w:val="NormalinTable"/>
              <w:jc w:val="center"/>
            </w:pPr>
            <w:r>
              <w:t>{SUPPUNIT}</w:t>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c>
          <w:p>
            <w:pPr>
              <w:pStyle w:val="NormalinTable"/>
              <w:jc w:val="center"/>
            </w:pPr>
            <w:r>
              <w:t>{SUPPUNIT}</w:t>
            </w:r>
          </w:p>
        </w:tc>//-->
      </w:tr>
      <w:tr>
        <w:trPr>
          <w:cantSplit/>
        </w:trPr>
        <w:tc>
          <w:p>
            <w:pPr>
              <w:pStyle w:val="NormalinTable"/>
            </w:pPr>
            <w:r>
              <w:rPr>
                <w:b/>
              </w:rPr>
              <w:t>1105 10 00 00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c>
          <w:p>
            <w:pPr>
              <w:pStyle w:val="NormalinTable"/>
              <w:jc w:val="center"/>
            </w:pPr>
            <w:r>
              <w:t>{SUPPUNIT}</w:t>
            </w:r>
          </w:p>
        </w:tc>//-->
      </w:tr>
      <w:tr>
        <w:trPr>
          <w:cantSplit/>
        </w:trPr>
        <w:tc>
          <w:p>
            <w:pPr>
              <w:pStyle w:val="NormalinTable"/>
            </w:pPr>
            <w:r>
              <w:rPr>
                <w:b/>
              </w:rPr>
              <w:t>1105 20 00 00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c>
          <w:p>
            <w:pPr>
              <w:pStyle w:val="NormalinTable"/>
              <w:jc w:val="center"/>
            </w:pPr>
            <w:r>
              <w:t>{SUPPUNIT}</w:t>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c>
          <w:p>
            <w:pPr>
              <w:pStyle w:val="NormalinTable"/>
              <w:jc w:val="center"/>
            </w:pPr>
            <w:r>
              <w:t>{SUPPUNIT}</w:t>
            </w:r>
          </w:p>
        </w:tc>//-->
      </w:tr>
      <w:tr>
        <w:trPr>
          <w:cantSplit/>
        </w:trPr>
        <w:tc>
          <w:p>
            <w:pPr>
              <w:pStyle w:val="NormalinTable"/>
            </w:pPr>
            <w:r>
              <w:rPr>
                <w:b/>
              </w:rPr>
              <w:t>1106 10 00 00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c>
          <w:p>
            <w:pPr>
              <w:pStyle w:val="NormalinTable"/>
              <w:jc w:val="center"/>
            </w:pPr>
            <w:r>
              <w:t>{SUPPUNIT}</w:t>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c>
          <w:p>
            <w:pPr>
              <w:pStyle w:val="NormalinTable"/>
              <w:jc w:val="center"/>
            </w:pPr>
            <w:r>
              <w:t>{SUPPUNIT}</w:t>
            </w:r>
          </w:p>
        </w:tc>//-->
      </w:tr>
      <w:tr>
        <w:trPr>
          <w:cantSplit/>
        </w:trPr>
        <w:tc>
          <w:p>
            <w:pPr>
              <w:pStyle w:val="NormalinTable"/>
            </w:pPr>
            <w:r>
              <w:rPr>
                <w:b/>
              </w:rPr>
              <w:t>1106 20 10 00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c>
          <w:p>
            <w:pPr>
              <w:pStyle w:val="NormalinTable"/>
              <w:jc w:val="center"/>
            </w:pPr>
            <w:r>
              <w:t>{SUPPUNIT}</w:t>
            </w:r>
          </w:p>
        </w:tc>//-->
      </w:tr>
      <w:tr>
        <w:trPr>
          <w:cantSplit/>
        </w:trPr>
        <w:tc>
          <w:p>
            <w:pPr>
              <w:pStyle w:val="NormalinTable"/>
            </w:pPr>
            <w:r>
              <w:rPr>
                <w:b/>
              </w:rPr>
              <w:t>1106 20 90 00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c>
          <w:p>
            <w:pPr>
              <w:pStyle w:val="NormalinTable"/>
              <w:jc w:val="center"/>
            </w:pPr>
            <w:r>
              <w:t>{SUPPUNIT}</w:t>
            </w:r>
          </w:p>
        </w:tc>//-->
      </w:tr>
      <w:tr>
        <w:trPr>
          <w:cantSplit/>
        </w:trPr>
        <w:tc>
          <w:p>
            <w:pPr>
              <w:pStyle w:val="NormalinTable"/>
            </w:pPr>
            <w:r>
              <w:rPr>
                <w:b/>
              </w:rPr>
              <w:t>1106 30 10 00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c>
          <w:p>
            <w:pPr>
              <w:pStyle w:val="NormalinTable"/>
              <w:jc w:val="center"/>
            </w:pPr>
            <w:r>
              <w:t>{SUPPUNIT}</w:t>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FOOT}//-->
            </w:r>
          </w:p>
        </w:tc>
        <!--<w:tc>
          <w:p>
            <w:pPr>
              <w:pStyle w:val="NormalinTable"/>
              <w:jc w:val="center"/>
            </w:pPr>
            <w:r>
              <w:t>{SUPPUNIT}</w:t>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FOOT}//-->
            </w:r>
          </w:p>
        </w:tc>
        <!--<w:tc>
          <w:p>
            <w:pPr>
              <w:pStyle w:val="NormalinTable"/>
              <w:jc w:val="center"/>
            </w:pPr>
            <w:r>
              <w:t>{SUPPUNIT}</w:t>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FOOT}//-->
            </w:r>
          </w:p>
        </w:tc>
        <!--<w:tc>
          <w:p>
            <w:pPr>
              <w:pStyle w:val="NormalinTable"/>
              <w:jc w:val="center"/>
            </w:pPr>
            <w:r>
              <w:t>{SUPPUNIT}</w:t>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c>
          <w:p>
            <w:pPr>
              <w:pStyle w:val="NormalinTable"/>
              <w:jc w:val="center"/>
            </w:pPr>
            <w:r>
              <w:t>{SUPPUNIT}</w:t>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c>
          <w:p>
            <w:pPr>
              <w:pStyle w:val="NormalinTable"/>
              <w:jc w:val="center"/>
            </w:pPr>
            <w:r>
              <w:t>{SUPPUNIT}</w:t>
            </w:r>
          </w:p>
        </w:tc>//-->
      </w:tr>
      <w:tr>
        <w:trPr>
          <w:cantSplit/>
        </w:trPr>
        <w:tc>
          <w:p>
            <w:pPr>
              <w:pStyle w:val="NormalinTable"/>
            </w:pPr>
            <w:r>
              <w:rPr>
                <w:b/>
              </w:rPr>
              <w:t>1107 10 11 00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1107 10 91 00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c>
          <w:p>
            <w:pPr>
              <w:pStyle w:val="NormalinTable"/>
              <w:jc w:val="center"/>
            </w:pPr>
            <w:r>
              <w:t>{SUPPUNIT}</w:t>
            </w:r>
          </w:p>
        </w:tc>//-->
      </w:tr>
      <w:tr>
        <w:trPr>
          <w:cantSplit/>
        </w:trPr>
        <w:tc>
          <w:p>
            <w:pPr>
              <w:pStyle w:val="NormalinTable"/>
            </w:pPr>
            <w:r>
              <w:rPr>
                <w:b/>
              </w:rPr>
              <w:t>1107 10 99 00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c>
          <w:p>
            <w:pPr>
              <w:pStyle w:val="NormalinTable"/>
              <w:jc w:val="center"/>
            </w:pPr>
            <w:r>
              <w:t>{SUPPUNIT}</w:t>
            </w:r>
          </w:p>
        </w:tc>//-->
      </w:tr>
      <w:tr>
        <w:trPr>
          <w:cantSplit/>
        </w:trPr>
        <w:tc>
          <w:p>
            <w:pPr>
              <w:pStyle w:val="NormalinTable"/>
            </w:pPr>
            <w:r>
              <w:rPr>
                <w:b/>
              </w:rPr>
              <w:t>1108 11 00 00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c>
          <w:p>
            <w:pPr>
              <w:pStyle w:val="NormalinTable"/>
              <w:jc w:val="center"/>
            </w:pPr>
            <w:r>
              <w:t>{SUPPUNIT}</w:t>
            </w:r>
          </w:p>
        </w:tc>//-->
      </w:tr>
      <w:tr>
        <w:trPr>
          <w:cantSplit/>
        </w:trPr>
        <w:tc>
          <w:p>
            <w:pPr>
              <w:pStyle w:val="NormalinTable"/>
            </w:pPr>
            <w:r>
              <w:rPr>
                <w:b/>
              </w:rPr>
              <w:t>1108 12 00 00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c>
          <w:p>
            <w:pPr>
              <w:pStyle w:val="NormalinTable"/>
              <w:jc w:val="center"/>
            </w:pPr>
            <w:r>
              <w:t>{SUPPUNIT}</w:t>
            </w:r>
          </w:p>
        </w:tc>//-->
      </w:tr>
      <w:tr>
        <w:trPr>
          <w:cantSplit/>
        </w:trPr>
        <w:tc>
          <w:p>
            <w:pPr>
              <w:pStyle w:val="NormalinTable"/>
            </w:pPr>
            <w:r>
              <w:rPr>
                <w:b/>
              </w:rPr>
              <w:t>1108 13 00 00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c>
          <w:p>
            <w:pPr>
              <w:pStyle w:val="NormalinTable"/>
              <w:jc w:val="center"/>
            </w:pPr>
            <w:r>
              <w:t>{SUPPUNIT}</w:t>
            </w:r>
          </w:p>
        </w:tc>//-->
      </w:tr>
      <w:tr>
        <w:trPr>
          <w:cantSplit/>
        </w:trPr>
        <w:tc>
          <w:p>
            <w:pPr>
              <w:pStyle w:val="NormalinTable"/>
            </w:pPr>
            <w:r>
              <w:rPr>
                <w:b/>
              </w:rPr>
              <w:t>1108 14 00 00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c>
          <w:p>
            <w:pPr>
              <w:pStyle w:val="NormalinTable"/>
              <w:jc w:val="center"/>
            </w:pPr>
            <w:r>
              <w:t>{SUPPUNIT}</w:t>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c>
          <w:p>
            <w:pPr>
              <w:pStyle w:val="NormalinTable"/>
              <w:jc w:val="center"/>
            </w:pPr>
            <w:r>
              <w:t>{SUPPUNIT}</w:t>
            </w:r>
          </w:p>
        </w:tc>//-->
      </w:tr>
      <w:tr>
        <w:trPr>
          <w:cantSplit/>
        </w:trPr>
        <w:tc>
          <w:p>
            <w:pPr>
              <w:pStyle w:val="NormalinTable"/>
            </w:pPr>
            <w:r>
              <w:rPr>
                <w:b/>
              </w:rPr>
              <w:t>1108 19 10 00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c>
          <w:p>
            <w:pPr>
              <w:pStyle w:val="NormalinTable"/>
              <w:jc w:val="center"/>
            </w:pPr>
            <w:r>
              <w:t>{SUPPUNIT}</w:t>
            </w:r>
          </w:p>
        </w:tc>//-->
      </w:tr>
      <w:tr>
        <w:trPr>
          <w:cantSplit/>
        </w:trPr>
        <w:tc>
          <w:p>
            <w:pPr>
              <w:pStyle w:val="NormalinTable"/>
            </w:pPr>
            <w:r>
              <w:rPr>
                <w:b/>
              </w:rPr>
              <w:t>1108 19 90 00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c>
          <w:p>
            <w:pPr>
              <w:pStyle w:val="NormalinTable"/>
              <w:jc w:val="center"/>
            </w:pPr>
            <w:r>
              <w:t>{SUPPUNIT}</w:t>
            </w:r>
          </w:p>
        </w:tc>//-->
      </w:tr>
      <w:tr>
        <w:trPr>
          <w:cantSplit/>
        </w:trPr>
        <w:tc>
          <w:p>
            <w:pPr>
              <w:pStyle w:val="NormalinTable"/>
            </w:pPr>
            <w:r>
              <w:rPr>
                <w:b/>
              </w:rPr>
              <w:t>1109 00 00 00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c>
          <w:p>
            <w:pPr>
              <w:pStyle w:val="NormalinTable"/>
              <w:jc w:val="center"/>
            </w:pPr>
            <w:r>
              <w:t>{SUPPUNIT}</w:t>
            </w:r>
          </w:p>
        </w:tc>//-->
      </w:tr>
    </w:tbl>
    <w:p w:rsidR="00EC0C15" w:rsidRDefault="00EC0C15">
      <w:pPr>
        <w:spacing w:after="160"/>
        <w:jc w:val="left"/>
      </w:pPr>
      <w:r>
        <w:br w:type="page"/>
      </w:r>
    </w:p>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9D55" w14:textId="77777777" w:rsidR="003C21F3" w:rsidRDefault="003C21F3" w:rsidP="00A0507B">
      <w:pPr>
        <w:spacing w:after="0" w:line="240" w:lineRule="auto"/>
      </w:pPr>
      <w:r>
        <w:separator/>
      </w:r>
    </w:p>
  </w:endnote>
  <w:endnote w:type="continuationSeparator" w:id="0">
    <w:p w14:paraId="0F907C95" w14:textId="77777777" w:rsidR="003C21F3" w:rsidRDefault="003C21F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2287E" w14:textId="77777777" w:rsidR="003C21F3" w:rsidRDefault="003C21F3">
      <w:pPr>
        <w:spacing w:after="0" w:line="240" w:lineRule="auto"/>
      </w:pPr>
      <w:r>
        <w:separator/>
      </w:r>
    </w:p>
  </w:footnote>
  <w:footnote w:type="continuationSeparator" w:id="0">
    <w:p w14:paraId="03DDBF3B" w14:textId="77777777" w:rsidR="003C21F3" w:rsidRDefault="003C2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21F3"/>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0A1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DE6AFBA1-8337-964D-9A46-929B9176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2019-07-08T08:39:00Z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