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pPr>
        <w:pStyle w:val="Heading3"/>
      </w:pPr>
      <w:r>
        <w:t>Chapter Notes</w:t>
      </w:r>
    </w:p>
    <w:p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>
      <w:r>
        <w:t>2. Heading 1401 applies, "inter alia", to bamboos (whether or not split, sawn lengthwise, cut to length, rounded at the ends, bleached, rendered non-inflammable, polished or dyed), split osier, reeds and the like, to rattan cores and to drawn or split rattans. The heading does not apply to chipwood (heading 4404).</w:t>
      </w:r>
    </w:p>
    <w:p>
      <w:r>
        <w:t>3. Heading 1404 does not apply to wood wool (heading 4405) and prepared knots or tufts for broom or brush making (heading 9603).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PLAITING MATERIALS; 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