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r>
        <w:t>(a) pig fat or poultry fat of heading 0209;</w:t>
      </w:r>
    </w:p>
    <w:p>
      <w:r>
        <w:t>(b) cocoa butter, fat and oil (heading 1804);</w:t>
      </w:r>
    </w:p>
    <w:p>
      <w:r>
        <w:t>(c) edible preparations containing by weight more than 15% of the products of heading 0405 (generally Chapter 21);</w:t>
      </w:r>
    </w:p>
    <w:p>
      <w:r>
        <w:t>(d) greaves (heading 2301) and residues of headings 2304 to 2306;</w:t>
      </w:r>
    </w:p>
    <w:p>
      <w:r>
        <w:t>(e) fatty acids, prepared waxes, medicaments, paints, varnishes, soap, perfumery, cosmetic or toilet preparations, sulphonated oils or other goods of Section VI; or</w:t>
      </w:r>
    </w:p>
    <w:p>
      <w:r>
        <w:t>(f) 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r>
        <w:t>(a) fixed vegetable oils, fluid or solid, obtained by pressure, are to be considered as 'crude' if they have undergone no other processing than:</w:t>
      </w:r>
    </w:p>
    <w:p>
      <w:pPr>
        <w:pStyle w:val="ListBullet"/>
      </w:pPr>
      <w:r>
        <w:t xml:space="preserve"> decantation within the normal time limits;</w:t>
      </w:r>
    </w:p>
    <w:p>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(c) 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I. For the purposes of subheading 1509 10 10, 'lampante olive oil' whatever its acidity, means olive oil with:</w:t>
      </w:r>
    </w:p>
    <w:p>
      <w:pPr>
        <w:pStyle w:val="ListBullet"/>
      </w:pPr>
      <w:r>
        <w:t xml:space="preserve">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pPr>
        <w:pStyle w:val="ListBullet"/>
      </w:pPr>
      <w:r>
        <w:t xml:space="preserve">a sum of transoleic isomers not exceeding 0,10% and a sum of translinoleic + translinolenic isomers not exceeding 0,10%;</w:t>
      </w:r>
    </w:p>
    <w:p>
      <w:pPr>
        <w:pStyle w:val="ListBullet"/>
      </w:pPr>
      <w:r>
        <w:t xml:space="preserve">a stigmastadiene content not exceeding 0.50 mg/kg;</w:t>
      </w:r>
    </w:p>
    <w:p>
      <w:pPr>
        <w:pStyle w:val="ListBullet"/>
      </w:pPr>
      <w:r>
        <w:t xml:space="preserve">a difference between the HPLC and theoretical content of triglycerides with ECN42 of 0,3 or less; and</w:t>
      </w:r>
    </w:p>
    <w:p>
      <w:pPr>
        <w:pStyle w:val="ListBullet"/>
      </w:pPr>
      <w:r>
        <w:t xml:space="preserve">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r>
        <w:t>II. For the purposes of subheading 1509 10 90, 'virgin oil' means olive oil having the following characteristics:</w:t>
      </w:r>
    </w:p>
    <w:p>
      <w:pPr>
        <w:pStyle w:val="ListBullet"/>
      </w:pPr>
      <w:r>
        <w:t xml:space="preserve">an acid content, expressed as oleic acid, not exceeding 2.0 g per 100 g;</w:t>
      </w:r>
    </w:p>
    <w:p>
      <w:pPr>
        <w:pStyle w:val="ListBullet"/>
      </w:pPr>
      <w:r>
        <w:t xml:space="preserve">a peroxide number not exceeding 20 meq O2/kg;</w:t>
      </w:r>
    </w:p>
    <w:p>
      <w:r>
        <w:t>(c) a wax content not exceeding 250 mg/kg;</w:t>
      </w:r>
    </w:p>
    <w:p>
      <w:pPr>
        <w:pStyle w:val="ListBullet"/>
      </w:pPr>
      <w:r>
        <w:t xml:space="preserve">a content in volatile halogenated solvents not exceeding 0.2 mg/kg overall and not exceeding 0.1 mg/kg for each solvent;</w:t>
      </w:r>
    </w:p>
    <w:p>
      <w:pPr>
        <w:pStyle w:val="ListBullet"/>
      </w:pPr>
      <w:r>
        <w:t xml:space="preserve">a K270 extinction coefficient not higher than 0,25;</w:t>
      </w:r>
    </w:p>
    <w:p>
      <w:pPr>
        <w:pStyle w:val="ListBullet"/>
      </w:pPr>
      <w:r>
        <w:t xml:space="preserve">an extinction coefficient variation (K), in the 270 nm region, not higher than 0,01;</w:t>
      </w:r>
    </w:p>
    <w:p>
      <w:pPr>
        <w:pStyle w:val="ListBullet"/>
      </w:pPr>
      <w:r>
        <w:t xml:space="preserve">organoleptic characteristics showing a median of defects not exceeding 3.5 in accordance with Annex XII to Commission Regulation (EEC) No 2568/91;</w:t>
      </w:r>
    </w:p>
    <w:p>
      <w:pPr>
        <w:pStyle w:val="ListBullet"/>
      </w:pPr>
      <w:r>
        <w:t xml:space="preserve">an erythrodiol-and-uvaol content not exceeding 4,5%;</w:t>
      </w:r>
    </w:p>
    <w:p>
      <w:pPr>
        <w:pStyle w:val="ListBullet"/>
      </w:pPr>
      <w:r>
        <w:t xml:space="preserve">(ij)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a sum of transoleic isomers not exceeding 0,05% and a sum of translinoleic + translinolenic isomers not exceeding 0,05%;</w:t>
      </w:r>
    </w:p>
    <w:p>
      <w:pPr>
        <w:pStyle w:val="ListBullet"/>
      </w:pPr>
      <w:r>
        <w:t xml:space="preserve">a content in stigmastadienes not exceeding 0.10 mg/kg.</w:t>
      </w:r>
    </w:p>
    <w:p>
      <w:pPr>
        <w:pStyle w:val="ListBullet"/>
      </w:pPr>
      <w:r>
        <w:t xml:space="preserve">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r>
        <w:t>(a) an acid content, expressed as oleic acid, not exceeding 1.0 g per 100 g;</w:t>
      </w:r>
    </w:p>
    <w:p>
      <w:r>
        <w:t>(b) a wax content not exceeding 350 mg/kg;</w:t>
      </w:r>
    </w:p>
    <w:p>
      <w:r>
        <w:t>(c) a K270 extinction coefficient not exceeding 0,90;</w:t>
      </w:r>
    </w:p>
    <w:p>
      <w:r>
        <w:t>(d) an extinction coefficient variation (K), in the 270 nm region, not exceeding 0,15;</w:t>
      </w:r>
    </w:p>
    <w:p>
      <w:r>
        <w:t>(e) an erythrodiol-and-uvaol content not exceeding 4,5%;</w:t>
      </w:r>
    </w:p>
    <w:p>
      <w:r>
        <w:t>(f) one of the following two characteristics:</w:t>
      </w:r>
    </w:p>
    <w:p>
      <w:pPr>
        <w:pStyle w:val="ListBullet"/>
      </w:pPr>
      <w:r>
        <w:t xml:space="preserve">a content in 2-glyceryl monopalmitate not exceeding 0.9%, if the palmitic-acid content does not exceed 14% of the total content in fatty acids;</w:t>
      </w:r>
    </w:p>
    <w:p>
      <w:pPr>
        <w:pStyle w:val="ListBullet"/>
      </w:pPr>
      <w:r>
        <w:t xml:space="preserve">(ii) a content in 2-glyceryl monopalmitate not exceeding 1.0%, if the palmitic-acid content exceeds 14% of the total content in fatty acids;</w:t>
      </w:r>
    </w:p>
    <w:p>
      <w:r>
        <w:t>(g) the sum of transoleic isomers not exceeding 0,20% and the sum of translinoleic + translinolenic isomers not exceeding 0,30%.</w:t>
      </w:r>
    </w:p>
    <w:p>
      <w:r>
        <w:t>(h) a difference between the HPLC and theoretical content of triglycerides with ECN42 of 0,3 or less.</w:t>
      </w:r>
    </w:p>
    <w:p>
      <w:r>
        <w:t>(D). For the purposes of subheading 1510 00 10, 'crude oils' means oils, particularly olive residue oils, with the following characteristics:</w:t>
      </w:r>
    </w:p>
    <w:p>
      <w:r>
        <w:t>(a) one of the following wax contents:</w:t>
      </w:r>
    </w:p>
    <w:p>
      <w:r>
        <w:t>(i) a wax content exceeding 300 mg/kg; or</w:t>
      </w:r>
    </w:p>
    <w:p>
      <w:r>
        <w:t>(ii) a wax content exceeding 300 mg/kg but not exceeding 350 mg/kg provided that:</w:t>
      </w:r>
    </w:p>
    <w:p>
      <w:pPr>
        <w:pStyle w:val="ListBullet"/>
      </w:pPr>
      <w:r>
        <w:t xml:space="preserve"> the total aliphatic-alcohol content exceeds 350 mg/kg; and</w:t>
      </w:r>
    </w:p>
    <w:p>
      <w:pPr>
        <w:pStyle w:val="ListBullet"/>
      </w:pPr>
      <w:r>
        <w:t xml:space="preserve"> the erythrodiol-and-uvaol content exceeds 3.5%;</w:t>
      </w:r>
    </w:p>
    <w:p>
      <w:r>
        <w:t>(b) an erythrodiol-and-uvaol content exceeding 4.5%;</w:t>
      </w:r>
    </w:p>
    <w:p>
      <w:r>
        <w:t>(c) a content in 2-glyceryl monopalmitate not exceeding 1.4%;</w:t>
      </w:r>
    </w:p>
    <w:p>
      <w:r>
        <w:t>(d) the sum of transoleic isomers not exceeding 0,20% and the sum of translinoleic + translinolenic isomers not exceeding 0,10%.</w:t>
      </w:r>
    </w:p>
    <w:p>
      <w:r>
        <w:t>(e) 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r>
        <w:t>(a) residues resulting from the treatment of fatty substances containing oil having an iodine index, determined in accordance with the method laid down in Annex XVI to Commission Regulation (EEC) No 2568/91, lower than 70 or higher than 100;</w:t>
      </w:r>
    </w:p>
    <w:p>
      <w:r>
        <w:t>(b) 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