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pPr>
        <w:pStyle w:val="Heading3"/>
      </w:pPr>
      <w:r>
        <w:t>Chapter Notes</w:t>
      </w:r>
    </w:p>
    <w:p>
      <w:r>
        <w:t>1. This chapter does not cover meat, meat offal, fish, crustaceans, molluscs or other aquatic invertebrates, prepared or preserved by the processes specified in Chapter 2 or 3 or heading 0504.</w:t>
      </w:r>
    </w:p>
    <w:p>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r>
        <w:t>For preparations containing liver, the provisions of the second sentence shall not apply in determining the subheadings within heading 1601 or 1602.</w:t>
      </w:r>
    </w:p>
    <w:p>
      <w:r>
        <w:t/>
      </w:r>
    </w:p>
    <w:p>
      <w:pPr>
        <w:pStyle w:val="Heading3"/>
      </w:pPr>
      <w:r>
        <w:t> Subheading notes </w:t>
      </w:r>
    </w:p>
    <w:p>
      <w:r>
        <w:t/>
      </w:r>
    </w:p>
    <w:p>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r>
        <w:t>2. The fish, crustaceans, molluscs and other aquatic invertebrates specified in the subheadings of heading 1604 or 1605 under their common names only, are of the same species as those mentioned in Chapter 3 under the same name</w:t>
      </w:r>
    </w:p>
    <w:p>
      <w:r>
        <w:t/>
      </w:r>
    </w:p>
    <w:p>
      <w:r>
        <w:t>## Additional notes ##</w:t>
      </w:r>
    </w:p>
    <w:p>
      <w:r>
        <w:t/>
      </w:r>
    </w:p>
    <w:p>
      <w:r>
        <w:t>1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r>
        <w:t/>
      </w:r>
    </w:p>
    <w:p>
      <w:r>
        <w:t>2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c>
          <w:p>
            <w:pPr>
              <w:pStyle w:val="NormalinTable"/>
              <w:jc w:val="center"/>
            </w:pPr>
            <w:r>
              <w:t>{SUPPUNIT}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c>
          <w:p>
            <w:pPr>
              <w:pStyle w:val="NormalinTable"/>
              <w:jc w:val="center"/>
            </w:pPr>
            <w:r>
              <w:t>{SUPPUNIT}</w:t>
            </w:r>
          </w:p>
        </w:tc>//-->
      </w:tr>
      <w:tr>
        <w:trPr>
          <w:cantSplit/>
        </w:trPr>
        <w:tc>
          <w:p>
            <w:pPr>
              <w:pStyle w:val="NormalinTable"/>
            </w:pPr>
            <w:r>
              <w:rPr>
                <w:b/>
              </w:rPr>
              <w:t>1602 49 50 00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c>
          <w:p>
            <w:pPr>
              <w:pStyle w:val="NormalinTable"/>
              <w:jc w:val="center"/>
            </w:pPr>
            <w:r>
              <w:t>{SUPPUNIT}</w:t>
            </w:r>
          </w:p>
        </w:tc>//-->
      </w:tr>
      <w:tr>
        <w:trPr>
          <w:cantSplit/>
        </w:trPr>
        <w:tc>
          <w:p>
            <w:pPr>
              <w:pStyle w:val="NormalinTable"/>
            </w:pPr>
            <w:r>
              <w:rPr>
                <w:b/>
              </w:rPr>
              <w:t>1602 49 90 00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c>
          <w:p>
            <w:pPr>
              <w:pStyle w:val="NormalinTable"/>
              <w:jc w:val="center"/>
            </w:pPr>
            <w:r>
              <w:t>{SUPPUNIT}</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