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17</w:t>
      </w:r>
      <w:r>
        <w:br/>
        <w:t>Sugars and Sugar Confectionery</w:t>
      </w:r>
    </w:p>
    <w:p>
      <w:pPr>
        <w:pStyle w:val="Heading3"/>
      </w:pPr>
      <w:r>
        <w:t>Chapter Notes</w:t>
      </w:r>
    </w:p>
    <w:p>
      <w:r>
        <w:t>1. This chapter does not cover:</w:t>
      </w:r>
    </w:p>
    <w:p>
      <w:r>
        <w:t>(a) sugar confectionery containing cocoa (heading 1806);</w:t>
      </w:r>
    </w:p>
    <w:p>
      <w:r>
        <w:t>(b) chemically pure sugars (other than sucrose, lactose, maltose, glucose and fructose) or other products of heading 2940; or</w:t>
      </w:r>
    </w:p>
    <w:p>
      <w:r>
        <w:t>(c) 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r>
        <w:t>(a) for the purposes of subheading 1702 60 80 the immediate product obtained by hydrolysis of inulin or oligofructoses, containing in the dry state more than 50% fructose in free form or as sucrose;</w:t>
      </w:r>
    </w:p>
    <w:p>
      <w:r>
        <w:t>(b) 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AND SUGAR CONFECTIONERY</w:t>
              <!--{FOOT}//-->
            </w:r>
          </w:p>
        </w:tc>
        <!--<w:tc>
          <w:p>
            <w:pPr>
              <w:pStyle w:val="NormalinTable"/>
              <w:jc w:val="center"/>
            </w:pPr>
            <w:r>
              <w:t>{SUPPUNIT}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c>
          <w:p>
            <w:pPr>
              <w:pStyle w:val="NormalinTable"/>
              <w:jc w:val="center"/>
            </w:pPr>
            <w:r>
              <w:t>{SUPPUNIT}</w:t>
            </w:r>
          </w:p>
        </w:tc>//-->
      </w:tr>
      <w:tr>
        <w:trPr>
          <w:cantSplit/>
        </w:trPr>
        <w:tc>
          <w:p>
            <w:pPr>
              <w:pStyle w:val="NormalinTable"/>
            </w:pPr>
            <w:r>
              <w:rPr>
                <w:b/>
              </w:rPr>
              <w:t>1702 19 00 00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c>
          <w:p>
            <w:pPr>
              <w:pStyle w:val="NormalinTable"/>
              <w:jc w:val="center"/>
            </w:pPr>
            <w:r>
              <w:t>{SUPPUNIT}</w:t>
            </w:r>
          </w:p>
        </w:tc>//-->
      </w:tr>
      <w:tr>
        <w:trPr>
          <w:cantSplit/>
        </w:trPr>
        <w:tc>
          <w:p>
            <w:pPr>
              <w:pStyle w:val="NormalinTable"/>
            </w:pPr>
            <w:r>
              <w:rPr>
                <w:b/>
              </w:rPr>
              <w:t>1702 30 10 00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c>
          <w:p>
            <w:pPr>
              <w:pStyle w:val="NormalinTable"/>
              <w:jc w:val="center"/>
            </w:pPr>
            <w:r>
              <w:t>{SUPPUNIT}</w:t>
            </w:r>
          </w:p>
        </w:tc>//-->
      </w:tr>
      <w:tr>
        <w:trPr>
          <w:cantSplit/>
        </w:trPr>
        <w:tc>
          <w:p>
            <w:pPr>
              <w:pStyle w:val="NormalinTable"/>
            </w:pPr>
            <w:r>
              <w:rPr>
                <w:b/>
              </w:rPr>
              <w:t>1702 40 10 00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c>
          <w:p>
            <w:pPr>
              <w:pStyle w:val="NormalinTable"/>
              <w:jc w:val="center"/>
            </w:pPr>
            <w:r>
              <w:t>{SUPPUNIT}</w:t>
            </w:r>
          </w:p>
        </w:tc>//-->
      </w:tr>
      <w:tr>
        <w:trPr>
          <w:cantSplit/>
        </w:trPr>
        <w:tc>
          <w:p>
            <w:pPr>
              <w:pStyle w:val="NormalinTable"/>
            </w:pPr>
            <w:r>
              <w:rPr>
                <w:b/>
              </w:rPr>
              <w:t>1702 60 10 00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c>
          <w:p>
            <w:pPr>
              <w:pStyle w:val="NormalinTable"/>
              <w:jc w:val="center"/>
            </w:pPr>
            <w:r>
              <w:t>{SUPPUNIT}</w:t>
            </w:r>
          </w:p>
        </w:tc>//-->
      </w:tr>
      <w:tr>
        <w:trPr>
          <w:cantSplit/>
        </w:trPr>
        <w:tc>
          <w:p>
            <w:pPr>
              <w:pStyle w:val="NormalinTable"/>
            </w:pPr>
            <w:r>
              <w:rPr>
                <w:b/>
              </w:rPr>
              <w:t>1704 10 90 00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c>
          <w:p>
            <w:pPr>
              <w:pStyle w:val="NormalinTable"/>
              <w:jc w:val="center"/>
            </w:pPr>
            <w:r>
              <w:t>{SUPPUNIT}</w:t>
            </w:r>
          </w:p>
        </w:tc>//-->
      </w:tr>
      <w:tr>
        <w:trPr>
          <w:cantSplit/>
        </w:trPr>
        <w:tc>
          <w:p>
            <w:pPr>
              <w:pStyle w:val="NormalinTable"/>
            </w:pPr>
            <w:r>
              <w:rPr>
                <w:b/>
              </w:rPr>
              <w:t>1704 90 30 00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